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2946"/>
      </w:tblGrid>
      <w:tr w:rsidR="00904A8D">
        <w:trPr>
          <w:trHeight w:val="680"/>
        </w:trPr>
        <w:tc>
          <w:tcPr>
            <w:tcW w:w="6440" w:type="dxa"/>
          </w:tcPr>
          <w:p w:rsidR="00904A8D" w:rsidRDefault="00904A8D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  <w:sz w:val="32"/>
              </w:rPr>
            </w:pPr>
          </w:p>
          <w:p w:rsidR="00904A8D" w:rsidRDefault="00B06B19" w:rsidP="00097655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</w:rPr>
            </w:pPr>
            <w:r>
              <w:rPr>
                <w:b/>
                <w:sz w:val="32"/>
              </w:rPr>
              <w:t>Schools Forum    3</w:t>
            </w:r>
            <w:r w:rsidR="00097655">
              <w:rPr>
                <w:b/>
                <w:sz w:val="32"/>
              </w:rPr>
              <w:t>1</w:t>
            </w:r>
            <w:r w:rsidR="00097655" w:rsidRPr="00097655">
              <w:rPr>
                <w:b/>
                <w:sz w:val="32"/>
                <w:vertAlign w:val="superscript"/>
              </w:rPr>
              <w:t>st</w:t>
            </w:r>
            <w:r w:rsidR="00097655">
              <w:rPr>
                <w:b/>
                <w:sz w:val="32"/>
              </w:rPr>
              <w:t xml:space="preserve"> Jan</w:t>
            </w:r>
            <w:r w:rsidR="00DB5E20">
              <w:rPr>
                <w:b/>
                <w:sz w:val="32"/>
              </w:rPr>
              <w:t>uary</w:t>
            </w:r>
            <w:r w:rsidR="00904A8D">
              <w:rPr>
                <w:b/>
                <w:sz w:val="32"/>
              </w:rPr>
              <w:t xml:space="preserve"> 201</w:t>
            </w:r>
            <w:r w:rsidR="00097655">
              <w:rPr>
                <w:b/>
                <w:sz w:val="32"/>
              </w:rPr>
              <w:t>7</w:t>
            </w:r>
          </w:p>
        </w:tc>
        <w:tc>
          <w:tcPr>
            <w:tcW w:w="2946" w:type="dxa"/>
          </w:tcPr>
          <w:p w:rsidR="00904A8D" w:rsidRDefault="00904A8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40"/>
                <w:szCs w:val="40"/>
              </w:rPr>
            </w:pPr>
            <w:r>
              <w:t xml:space="preserve">Item </w:t>
            </w:r>
            <w:r w:rsidR="00DB5E20">
              <w:rPr>
                <w:sz w:val="40"/>
                <w:szCs w:val="40"/>
              </w:rPr>
              <w:t xml:space="preserve">   </w:t>
            </w:r>
          </w:p>
          <w:p w:rsidR="00D20AC0" w:rsidRDefault="00A26972" w:rsidP="00D20AC0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bookmarkStart w:id="0" w:name="_GoBack"/>
            <w:bookmarkEnd w:id="0"/>
          </w:p>
        </w:tc>
      </w:tr>
    </w:tbl>
    <w:p w:rsidR="00904A8D" w:rsidRDefault="00904A8D">
      <w:pPr>
        <w:pStyle w:val="Header"/>
        <w:tabs>
          <w:tab w:val="clear" w:pos="4153"/>
          <w:tab w:val="clear" w:pos="8306"/>
        </w:tabs>
        <w:jc w:val="right"/>
      </w:pPr>
    </w:p>
    <w:p w:rsidR="00904A8D" w:rsidRDefault="00DB5E20">
      <w:pPr>
        <w:pStyle w:val="Header"/>
        <w:tabs>
          <w:tab w:val="clear" w:pos="4153"/>
          <w:tab w:val="clear" w:pos="8306"/>
        </w:tabs>
      </w:pPr>
      <w:r>
        <w:rPr>
          <w:b/>
        </w:rPr>
        <w:t xml:space="preserve">SUBJECT:  </w:t>
      </w:r>
      <w:r w:rsidR="00261438">
        <w:rPr>
          <w:b/>
        </w:rPr>
        <w:t xml:space="preserve">Schools Block including </w:t>
      </w:r>
      <w:r w:rsidR="00CC3C47">
        <w:rPr>
          <w:b/>
        </w:rPr>
        <w:t>Schools F</w:t>
      </w:r>
      <w:r w:rsidR="00B06B19">
        <w:rPr>
          <w:b/>
        </w:rPr>
        <w:t xml:space="preserve">unding </w:t>
      </w:r>
      <w:r w:rsidR="00CC3C47">
        <w:rPr>
          <w:b/>
        </w:rPr>
        <w:t>F</w:t>
      </w:r>
      <w:r w:rsidR="00B06B19">
        <w:rPr>
          <w:b/>
        </w:rPr>
        <w:t>ormula 201</w:t>
      </w:r>
      <w:r w:rsidR="00097655">
        <w:rPr>
          <w:b/>
        </w:rPr>
        <w:t>7</w:t>
      </w:r>
      <w:r w:rsidR="00904A8D">
        <w:rPr>
          <w:b/>
        </w:rPr>
        <w:t>/1</w:t>
      </w:r>
      <w:r w:rsidR="00097655">
        <w:rPr>
          <w:b/>
        </w:rPr>
        <w:t>8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:rsidR="00904A8D" w:rsidRDefault="00904A8D">
      <w:pPr>
        <w:pStyle w:val="Header"/>
        <w:tabs>
          <w:tab w:val="clear" w:pos="4153"/>
          <w:tab w:val="clear" w:pos="8306"/>
        </w:tabs>
      </w:pPr>
      <w:r>
        <w:rPr>
          <w:b/>
        </w:rPr>
        <w:t>LEAD OFFICER: Marius Karsten</w:t>
      </w:r>
      <w:r w:rsidR="00DA280F">
        <w:rPr>
          <w:b/>
        </w:rPr>
        <w:t>-Strydom</w:t>
      </w:r>
      <w:r>
        <w:rPr>
          <w:bCs/>
        </w:rPr>
        <w:t>,</w:t>
      </w:r>
      <w:r>
        <w:t xml:space="preserve"> Children, Schools and Families Finance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t xml:space="preserve">RECOMMENDATION 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:rsidR="00DB5E20" w:rsidRDefault="00904A8D">
      <w:pPr>
        <w:pStyle w:val="Header"/>
        <w:tabs>
          <w:tab w:val="clear" w:pos="4153"/>
          <w:tab w:val="clear" w:pos="8306"/>
        </w:tabs>
        <w:ind w:left="360"/>
        <w:rPr>
          <w:b/>
        </w:rPr>
      </w:pPr>
      <w:r>
        <w:rPr>
          <w:b/>
        </w:rPr>
        <w:t>That the Forum</w:t>
      </w:r>
      <w:r w:rsidR="00DB5E20">
        <w:rPr>
          <w:b/>
        </w:rPr>
        <w:t>:</w:t>
      </w:r>
    </w:p>
    <w:p w:rsidR="00DB5E20" w:rsidRDefault="00DB5E20" w:rsidP="00DB5E20">
      <w:pPr>
        <w:pStyle w:val="Header"/>
        <w:tabs>
          <w:tab w:val="clear" w:pos="4153"/>
          <w:tab w:val="clear" w:pos="8306"/>
        </w:tabs>
        <w:rPr>
          <w:b/>
        </w:rPr>
      </w:pPr>
    </w:p>
    <w:p w:rsidR="00DB5E20" w:rsidRDefault="00B06B19" w:rsidP="00DB5E2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Notes </w:t>
      </w:r>
      <w:r w:rsidR="00DB5E20">
        <w:rPr>
          <w:b/>
        </w:rPr>
        <w:t xml:space="preserve">the </w:t>
      </w:r>
      <w:r w:rsidR="00BD3873">
        <w:rPr>
          <w:b/>
        </w:rPr>
        <w:t>Schools Funding F</w:t>
      </w:r>
      <w:r w:rsidR="0041573F">
        <w:rPr>
          <w:b/>
        </w:rPr>
        <w:t xml:space="preserve">ormula allocation for </w:t>
      </w:r>
      <w:r w:rsidR="00097655">
        <w:rPr>
          <w:b/>
        </w:rPr>
        <w:t>2017/18</w:t>
      </w:r>
      <w:r>
        <w:rPr>
          <w:b/>
        </w:rPr>
        <w:t xml:space="preserve"> following consultation and provides comments for LA consideration.</w:t>
      </w:r>
    </w:p>
    <w:p w:rsidR="00E55826" w:rsidRDefault="00097655" w:rsidP="00DB5E2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/>
        </w:rPr>
      </w:pPr>
      <w:r>
        <w:rPr>
          <w:b/>
        </w:rPr>
        <w:t>A</w:t>
      </w:r>
      <w:r w:rsidR="00E55826">
        <w:rPr>
          <w:b/>
        </w:rPr>
        <w:t xml:space="preserve">pproves the continuation of the centrally held funding as detailed in </w:t>
      </w:r>
      <w:r w:rsidR="00451102">
        <w:rPr>
          <w:b/>
        </w:rPr>
        <w:t>paragraphs 2.2 and 2.3 of</w:t>
      </w:r>
      <w:r w:rsidR="00E55826">
        <w:rPr>
          <w:b/>
        </w:rPr>
        <w:t xml:space="preserve"> this report.</w:t>
      </w:r>
    </w:p>
    <w:p w:rsidR="00DB5E20" w:rsidRDefault="00DB5E20" w:rsidP="00BE5714">
      <w:pPr>
        <w:pStyle w:val="Header"/>
        <w:tabs>
          <w:tab w:val="clear" w:pos="4153"/>
          <w:tab w:val="clear" w:pos="8306"/>
        </w:tabs>
        <w:rPr>
          <w:b/>
        </w:rPr>
      </w:pPr>
    </w:p>
    <w:p w:rsidR="00904A8D" w:rsidRDefault="00904A8D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</w:tabs>
        <w:ind w:left="720" w:hanging="720"/>
        <w:rPr>
          <w:b/>
          <w:sz w:val="28"/>
        </w:rPr>
      </w:pPr>
      <w:r>
        <w:rPr>
          <w:b/>
          <w:sz w:val="28"/>
        </w:rPr>
        <w:t>Purpose of report and executive summary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  <w:sz w:val="28"/>
        </w:rPr>
      </w:pPr>
    </w:p>
    <w:p w:rsidR="0041573F" w:rsidRDefault="0041573F" w:rsidP="008139D1">
      <w:pPr>
        <w:pStyle w:val="BodyTextIndent3"/>
        <w:numPr>
          <w:ilvl w:val="1"/>
          <w:numId w:val="3"/>
        </w:num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Government announced the Dedicated Schools Grant allocation on </w:t>
      </w:r>
      <w:r w:rsidR="00097655">
        <w:rPr>
          <w:rFonts w:cs="Times New Roman"/>
          <w:sz w:val="24"/>
          <w:szCs w:val="24"/>
        </w:rPr>
        <w:t>20</w:t>
      </w:r>
      <w:r w:rsidRPr="004A5776">
        <w:rPr>
          <w:rFonts w:cs="Times New Roman"/>
          <w:sz w:val="24"/>
          <w:szCs w:val="24"/>
          <w:vertAlign w:val="superscript"/>
        </w:rPr>
        <w:t>th</w:t>
      </w:r>
      <w:r w:rsidR="00097655">
        <w:rPr>
          <w:rFonts w:cs="Times New Roman"/>
          <w:sz w:val="24"/>
          <w:szCs w:val="24"/>
        </w:rPr>
        <w:t xml:space="preserve"> December 2016</w:t>
      </w:r>
      <w:r>
        <w:rPr>
          <w:rFonts w:cs="Times New Roman"/>
          <w:sz w:val="24"/>
          <w:szCs w:val="24"/>
        </w:rPr>
        <w:t>. Merton’s allocatio</w:t>
      </w:r>
      <w:r w:rsidR="00B3564D">
        <w:rPr>
          <w:rFonts w:cs="Times New Roman"/>
          <w:sz w:val="24"/>
          <w:szCs w:val="24"/>
        </w:rPr>
        <w:t>n split over the three blocks is</w:t>
      </w:r>
      <w:r>
        <w:rPr>
          <w:rFonts w:cs="Times New Roman"/>
          <w:sz w:val="24"/>
          <w:szCs w:val="24"/>
        </w:rPr>
        <w:t xml:space="preserve"> as follows:</w:t>
      </w:r>
    </w:p>
    <w:p w:rsidR="0041573F" w:rsidRDefault="0041573F" w:rsidP="0041573F">
      <w:pPr>
        <w:pStyle w:val="BodyTextIndent3"/>
        <w:ind w:left="360"/>
        <w:jc w:val="both"/>
        <w:rPr>
          <w:rFonts w:cs="Times New Roman"/>
          <w:sz w:val="24"/>
          <w:szCs w:val="24"/>
        </w:rPr>
      </w:pP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7"/>
        <w:gridCol w:w="1418"/>
        <w:gridCol w:w="1417"/>
      </w:tblGrid>
      <w:tr w:rsidR="00A36F4B" w:rsidRPr="00A36F4B" w:rsidTr="00A36F4B">
        <w:tc>
          <w:tcPr>
            <w:tcW w:w="5517" w:type="dxa"/>
            <w:shd w:val="clear" w:color="auto" w:fill="00B050"/>
          </w:tcPr>
          <w:p w:rsidR="00097655" w:rsidRPr="00A36F4B" w:rsidRDefault="00097655" w:rsidP="0041573F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097655" w:rsidRPr="00A36F4B" w:rsidRDefault="00097655" w:rsidP="0041573F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18" w:type="dxa"/>
            <w:shd w:val="clear" w:color="auto" w:fill="00B050"/>
          </w:tcPr>
          <w:p w:rsidR="00097655" w:rsidRPr="00A36F4B" w:rsidRDefault="00097655" w:rsidP="0041573F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2017/18</w:t>
            </w:r>
          </w:p>
          <w:p w:rsidR="00097655" w:rsidRPr="00A36F4B" w:rsidRDefault="00097655" w:rsidP="0041573F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  <w:tc>
          <w:tcPr>
            <w:tcW w:w="1417" w:type="dxa"/>
            <w:shd w:val="clear" w:color="auto" w:fill="00B050"/>
          </w:tcPr>
          <w:p w:rsidR="00097655" w:rsidRPr="00A36F4B" w:rsidRDefault="00097655" w:rsidP="009D0FF0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2016/17</w:t>
            </w:r>
          </w:p>
          <w:p w:rsidR="00097655" w:rsidRPr="00A36F4B" w:rsidRDefault="00097655" w:rsidP="009D0FF0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</w:tr>
      <w:tr w:rsidR="00097655" w:rsidTr="00097655">
        <w:tc>
          <w:tcPr>
            <w:tcW w:w="5517" w:type="dxa"/>
            <w:shd w:val="clear" w:color="auto" w:fill="auto"/>
          </w:tcPr>
          <w:p w:rsidR="00097655" w:rsidRPr="00010E9D" w:rsidRDefault="00097655" w:rsidP="0041573F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Schools Block</w:t>
            </w:r>
          </w:p>
        </w:tc>
        <w:tc>
          <w:tcPr>
            <w:tcW w:w="1418" w:type="dxa"/>
          </w:tcPr>
          <w:p w:rsidR="00097655" w:rsidRPr="00010E9D" w:rsidRDefault="00097655" w:rsidP="00C9013B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013B">
              <w:rPr>
                <w:sz w:val="24"/>
                <w:szCs w:val="24"/>
              </w:rPr>
              <w:t>6,421</w:t>
            </w:r>
          </w:p>
        </w:tc>
        <w:tc>
          <w:tcPr>
            <w:tcW w:w="1417" w:type="dxa"/>
          </w:tcPr>
          <w:p w:rsidR="00097655" w:rsidRPr="00010E9D" w:rsidRDefault="00511CB6" w:rsidP="009D0FF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097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026</w:t>
            </w:r>
          </w:p>
        </w:tc>
      </w:tr>
      <w:tr w:rsidR="00097655" w:rsidTr="00097655">
        <w:tc>
          <w:tcPr>
            <w:tcW w:w="5517" w:type="dxa"/>
            <w:shd w:val="clear" w:color="auto" w:fill="auto"/>
          </w:tcPr>
          <w:p w:rsidR="00097655" w:rsidRPr="00010E9D" w:rsidRDefault="00097655" w:rsidP="0041573F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Early Years Block</w:t>
            </w:r>
          </w:p>
        </w:tc>
        <w:tc>
          <w:tcPr>
            <w:tcW w:w="1418" w:type="dxa"/>
          </w:tcPr>
          <w:p w:rsidR="00097655" w:rsidRPr="00010E9D" w:rsidRDefault="00097655" w:rsidP="0041573F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013B">
              <w:rPr>
                <w:sz w:val="24"/>
                <w:szCs w:val="24"/>
              </w:rPr>
              <w:t>5,061</w:t>
            </w:r>
          </w:p>
        </w:tc>
        <w:tc>
          <w:tcPr>
            <w:tcW w:w="1417" w:type="dxa"/>
          </w:tcPr>
          <w:p w:rsidR="00097655" w:rsidRPr="00010E9D" w:rsidRDefault="00097655" w:rsidP="009D0FF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11,122</w:t>
            </w:r>
          </w:p>
        </w:tc>
      </w:tr>
      <w:tr w:rsidR="00097655" w:rsidTr="00A36F4B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097655" w:rsidRPr="00010E9D" w:rsidRDefault="00097655" w:rsidP="0041573F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High Needs Block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655" w:rsidRPr="00010E9D" w:rsidRDefault="00C9013B" w:rsidP="0041573F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655" w:rsidRPr="00010E9D" w:rsidRDefault="00097655" w:rsidP="009D0FF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1CB6">
              <w:rPr>
                <w:sz w:val="24"/>
                <w:szCs w:val="24"/>
              </w:rPr>
              <w:t>6,833</w:t>
            </w:r>
          </w:p>
        </w:tc>
      </w:tr>
      <w:tr w:rsidR="00A36F4B" w:rsidRPr="00A36F4B" w:rsidTr="00A36F4B">
        <w:tc>
          <w:tcPr>
            <w:tcW w:w="5517" w:type="dxa"/>
            <w:shd w:val="clear" w:color="auto" w:fill="00B050"/>
          </w:tcPr>
          <w:p w:rsidR="00097655" w:rsidRPr="00A36F4B" w:rsidRDefault="00097655" w:rsidP="0041573F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Total as at Schools Forum meeting</w:t>
            </w:r>
          </w:p>
        </w:tc>
        <w:tc>
          <w:tcPr>
            <w:tcW w:w="1418" w:type="dxa"/>
            <w:shd w:val="clear" w:color="auto" w:fill="00B050"/>
          </w:tcPr>
          <w:p w:rsidR="00097655" w:rsidRPr="00A36F4B" w:rsidRDefault="00097655" w:rsidP="0041573F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C9013B" w:rsidRPr="00A36F4B">
              <w:rPr>
                <w:b/>
                <w:color w:val="FFFFFF" w:themeColor="background1"/>
                <w:sz w:val="24"/>
                <w:szCs w:val="24"/>
              </w:rPr>
              <w:t>63,114</w:t>
            </w:r>
          </w:p>
        </w:tc>
        <w:tc>
          <w:tcPr>
            <w:tcW w:w="1417" w:type="dxa"/>
            <w:shd w:val="clear" w:color="auto" w:fill="00B050"/>
          </w:tcPr>
          <w:p w:rsidR="00097655" w:rsidRPr="00A36F4B" w:rsidRDefault="00097655" w:rsidP="009D0FF0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156,981</w:t>
            </w:r>
          </w:p>
        </w:tc>
      </w:tr>
      <w:tr w:rsidR="00097655" w:rsidTr="00A36F4B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097655" w:rsidRPr="00E958A6" w:rsidRDefault="00097655" w:rsidP="0041573F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E958A6">
              <w:rPr>
                <w:sz w:val="24"/>
                <w:szCs w:val="24"/>
              </w:rPr>
              <w:t>Academy recoupment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655" w:rsidRPr="00E958A6" w:rsidRDefault="001421B7" w:rsidP="0041573F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(18,263</w:t>
            </w:r>
            <w:r w:rsidR="0009765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7655" w:rsidRPr="00E958A6" w:rsidRDefault="00097655" w:rsidP="009D0FF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(17,272)</w:t>
            </w:r>
          </w:p>
        </w:tc>
      </w:tr>
      <w:tr w:rsidR="00A36F4B" w:rsidRPr="00A36F4B" w:rsidTr="00A36F4B">
        <w:tc>
          <w:tcPr>
            <w:tcW w:w="5517" w:type="dxa"/>
            <w:shd w:val="clear" w:color="auto" w:fill="00B050"/>
          </w:tcPr>
          <w:p w:rsidR="00097655" w:rsidRPr="00A36F4B" w:rsidRDefault="00097655" w:rsidP="0041573F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Final allocation for the year</w:t>
            </w:r>
          </w:p>
        </w:tc>
        <w:tc>
          <w:tcPr>
            <w:tcW w:w="1418" w:type="dxa"/>
            <w:shd w:val="clear" w:color="auto" w:fill="00B050"/>
          </w:tcPr>
          <w:p w:rsidR="00097655" w:rsidRPr="00A36F4B" w:rsidRDefault="00C9013B" w:rsidP="00C9013B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144</w:t>
            </w:r>
            <w:r w:rsidR="00097655" w:rsidRPr="00A36F4B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A36F4B">
              <w:rPr>
                <w:b/>
                <w:color w:val="FFFFFF" w:themeColor="background1"/>
                <w:sz w:val="24"/>
                <w:szCs w:val="24"/>
              </w:rPr>
              <w:t>851</w:t>
            </w:r>
          </w:p>
        </w:tc>
        <w:tc>
          <w:tcPr>
            <w:tcW w:w="1417" w:type="dxa"/>
            <w:shd w:val="clear" w:color="auto" w:fill="00B050"/>
          </w:tcPr>
          <w:p w:rsidR="00097655" w:rsidRPr="00A36F4B" w:rsidRDefault="00097655" w:rsidP="009D0FF0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36F4B">
              <w:rPr>
                <w:b/>
                <w:color w:val="FFFFFF" w:themeColor="background1"/>
                <w:sz w:val="24"/>
                <w:szCs w:val="24"/>
              </w:rPr>
              <w:t>139,709</w:t>
            </w:r>
          </w:p>
        </w:tc>
      </w:tr>
    </w:tbl>
    <w:p w:rsidR="00F4301A" w:rsidRDefault="00F4301A" w:rsidP="0041573F">
      <w:pPr>
        <w:pStyle w:val="BodyTextIndent3"/>
        <w:ind w:hanging="720"/>
        <w:jc w:val="both"/>
        <w:rPr>
          <w:sz w:val="24"/>
          <w:szCs w:val="24"/>
        </w:rPr>
      </w:pPr>
    </w:p>
    <w:p w:rsidR="008A26AD" w:rsidRDefault="008A26AD" w:rsidP="00C9013B">
      <w:pPr>
        <w:pStyle w:val="BodyText"/>
        <w:numPr>
          <w:ilvl w:val="1"/>
          <w:numId w:val="3"/>
        </w:numPr>
        <w:spacing w:after="0"/>
        <w:ind w:left="709" w:hanging="709"/>
        <w:rPr>
          <w:rFonts w:ascii="Arial" w:hAnsi="Arial"/>
        </w:rPr>
      </w:pPr>
      <w:r>
        <w:rPr>
          <w:rFonts w:ascii="Arial" w:hAnsi="Arial"/>
        </w:rPr>
        <w:t>This report will concentrate on the Schools Block and the allocation of this funding to Schools and Academies through the Schools Funding Formula.</w:t>
      </w:r>
    </w:p>
    <w:p w:rsidR="007657BC" w:rsidRDefault="007657BC" w:rsidP="00C9013B">
      <w:pPr>
        <w:pStyle w:val="BodyText"/>
        <w:spacing w:after="0"/>
        <w:ind w:left="709"/>
        <w:rPr>
          <w:rFonts w:ascii="Arial" w:hAnsi="Arial"/>
        </w:rPr>
      </w:pPr>
    </w:p>
    <w:p w:rsidR="00904A8D" w:rsidRDefault="00904A8D">
      <w:pPr>
        <w:pStyle w:val="Header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hanging="720"/>
        <w:rPr>
          <w:b/>
          <w:sz w:val="28"/>
        </w:rPr>
      </w:pPr>
      <w:r>
        <w:rPr>
          <w:b/>
          <w:sz w:val="28"/>
        </w:rPr>
        <w:t>Details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  <w:sz w:val="28"/>
        </w:rPr>
      </w:pPr>
    </w:p>
    <w:p w:rsidR="00904A8D" w:rsidRPr="006A1CB0" w:rsidRDefault="00BD3873" w:rsidP="008D4BA3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rPr>
          <w:szCs w:val="24"/>
        </w:rPr>
        <w:t>The</w:t>
      </w:r>
      <w:r w:rsidR="006A3290">
        <w:rPr>
          <w:szCs w:val="24"/>
        </w:rPr>
        <w:t xml:space="preserve"> Sch</w:t>
      </w:r>
      <w:r w:rsidR="00D06521">
        <w:rPr>
          <w:szCs w:val="24"/>
        </w:rPr>
        <w:t>ools Block allocation of £11</w:t>
      </w:r>
      <w:r w:rsidR="00C9013B">
        <w:rPr>
          <w:szCs w:val="24"/>
        </w:rPr>
        <w:t>6</w:t>
      </w:r>
      <w:r w:rsidR="00D06521">
        <w:rPr>
          <w:szCs w:val="24"/>
        </w:rPr>
        <w:t>.</w:t>
      </w:r>
      <w:r w:rsidR="00C9013B">
        <w:rPr>
          <w:szCs w:val="24"/>
        </w:rPr>
        <w:t>421</w:t>
      </w:r>
      <w:r>
        <w:rPr>
          <w:szCs w:val="24"/>
        </w:rPr>
        <w:t>m is split into the following blocks:</w:t>
      </w:r>
    </w:p>
    <w:tbl>
      <w:tblPr>
        <w:tblW w:w="833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7"/>
        <w:gridCol w:w="1409"/>
        <w:gridCol w:w="1409"/>
      </w:tblGrid>
      <w:tr w:rsidR="004C4B47" w:rsidRPr="004C4B47" w:rsidTr="004C4B47">
        <w:tc>
          <w:tcPr>
            <w:tcW w:w="5517" w:type="dxa"/>
            <w:shd w:val="clear" w:color="auto" w:fill="00B050"/>
          </w:tcPr>
          <w:p w:rsidR="00C9013B" w:rsidRPr="004C4B47" w:rsidRDefault="00C9013B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C9013B" w:rsidRPr="004C4B47" w:rsidRDefault="00C9013B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C4B47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09" w:type="dxa"/>
            <w:shd w:val="clear" w:color="auto" w:fill="00B050"/>
          </w:tcPr>
          <w:p w:rsidR="00C9013B" w:rsidRPr="004C4B47" w:rsidRDefault="00C9013B" w:rsidP="006A329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4B47">
              <w:rPr>
                <w:b/>
                <w:color w:val="FFFFFF" w:themeColor="background1"/>
                <w:sz w:val="24"/>
                <w:szCs w:val="24"/>
              </w:rPr>
              <w:t>2017/18</w:t>
            </w:r>
          </w:p>
          <w:p w:rsidR="00C9013B" w:rsidRPr="004C4B47" w:rsidRDefault="00C9013B" w:rsidP="006A329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4B47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  <w:tc>
          <w:tcPr>
            <w:tcW w:w="1409" w:type="dxa"/>
            <w:shd w:val="clear" w:color="auto" w:fill="00B050"/>
          </w:tcPr>
          <w:p w:rsidR="00C9013B" w:rsidRPr="004C4B47" w:rsidRDefault="00C9013B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4B47">
              <w:rPr>
                <w:b/>
                <w:color w:val="FFFFFF" w:themeColor="background1"/>
                <w:sz w:val="24"/>
                <w:szCs w:val="24"/>
              </w:rPr>
              <w:t>2016/17</w:t>
            </w:r>
          </w:p>
          <w:p w:rsidR="00C9013B" w:rsidRPr="004C4B47" w:rsidRDefault="00C9013B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4B47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</w:tr>
      <w:tr w:rsidR="00C9013B" w:rsidTr="00C9013B">
        <w:tc>
          <w:tcPr>
            <w:tcW w:w="5517" w:type="dxa"/>
            <w:shd w:val="clear" w:color="auto" w:fill="auto"/>
          </w:tcPr>
          <w:p w:rsidR="00C9013B" w:rsidRPr="00010E9D" w:rsidRDefault="00C9013B" w:rsidP="00010E9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Centrally Retained Items</w:t>
            </w:r>
          </w:p>
        </w:tc>
        <w:tc>
          <w:tcPr>
            <w:tcW w:w="1409" w:type="dxa"/>
          </w:tcPr>
          <w:p w:rsidR="00C9013B" w:rsidRPr="00010E9D" w:rsidRDefault="00B225B3" w:rsidP="00497AE8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409" w:type="dxa"/>
          </w:tcPr>
          <w:p w:rsidR="00C9013B" w:rsidRPr="00010E9D" w:rsidRDefault="00511CB6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9013B" w:rsidTr="00C9013B">
        <w:tc>
          <w:tcPr>
            <w:tcW w:w="5517" w:type="dxa"/>
            <w:shd w:val="clear" w:color="auto" w:fill="auto"/>
          </w:tcPr>
          <w:p w:rsidR="00C9013B" w:rsidRPr="00010E9D" w:rsidRDefault="00C9013B" w:rsidP="00010E9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 xml:space="preserve">bulge </w:t>
            </w:r>
            <w:r w:rsidRPr="00010E9D">
              <w:rPr>
                <w:sz w:val="24"/>
                <w:szCs w:val="24"/>
              </w:rPr>
              <w:t>growth requirement</w:t>
            </w:r>
          </w:p>
        </w:tc>
        <w:tc>
          <w:tcPr>
            <w:tcW w:w="1409" w:type="dxa"/>
          </w:tcPr>
          <w:p w:rsidR="00C9013B" w:rsidRPr="00010E9D" w:rsidRDefault="00736FD3" w:rsidP="006A329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409" w:type="dxa"/>
          </w:tcPr>
          <w:p w:rsidR="00C9013B" w:rsidRPr="00010E9D" w:rsidRDefault="00C9013B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1,380</w:t>
            </w:r>
          </w:p>
        </w:tc>
      </w:tr>
      <w:tr w:rsidR="00C9013B" w:rsidTr="00C9013B">
        <w:tc>
          <w:tcPr>
            <w:tcW w:w="5517" w:type="dxa"/>
            <w:shd w:val="clear" w:color="auto" w:fill="auto"/>
          </w:tcPr>
          <w:p w:rsidR="00C9013B" w:rsidRPr="00010E9D" w:rsidRDefault="00C9013B" w:rsidP="00010E9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Transfers to other blocks</w:t>
            </w:r>
          </w:p>
        </w:tc>
        <w:tc>
          <w:tcPr>
            <w:tcW w:w="1409" w:type="dxa"/>
          </w:tcPr>
          <w:p w:rsidR="00C9013B" w:rsidRPr="00010E9D" w:rsidRDefault="00202901" w:rsidP="00497AE8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09" w:type="dxa"/>
          </w:tcPr>
          <w:p w:rsidR="00C9013B" w:rsidRPr="00010E9D" w:rsidRDefault="00C9013B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4,183</w:t>
            </w:r>
          </w:p>
        </w:tc>
      </w:tr>
      <w:tr w:rsidR="00202901" w:rsidTr="00CD70E9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202901" w:rsidRPr="00010E9D" w:rsidRDefault="00202901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De-delegated items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02901" w:rsidRPr="00010E9D" w:rsidRDefault="00A47659" w:rsidP="00CD70E9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1,808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02901" w:rsidRPr="00010E9D" w:rsidRDefault="00897470" w:rsidP="00CD70E9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1,717</w:t>
            </w:r>
          </w:p>
        </w:tc>
      </w:tr>
      <w:tr w:rsidR="00202901" w:rsidTr="00CD70E9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202901" w:rsidRPr="00010E9D" w:rsidRDefault="00202901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duties to maintained schools (ESG)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02901" w:rsidRPr="00010E9D" w:rsidRDefault="0013595A" w:rsidP="00CD70E9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02901" w:rsidRPr="00010E9D" w:rsidRDefault="0013595A" w:rsidP="00CD70E9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3FD" w:rsidTr="00CD70E9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A833FD" w:rsidRPr="00010E9D" w:rsidRDefault="00A833FD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Ind</w:t>
            </w:r>
            <w:r>
              <w:rPr>
                <w:sz w:val="24"/>
                <w:szCs w:val="24"/>
              </w:rPr>
              <w:t>i</w:t>
            </w:r>
            <w:r w:rsidRPr="00010E9D">
              <w:rPr>
                <w:sz w:val="24"/>
                <w:szCs w:val="24"/>
              </w:rPr>
              <w:t>vidual School Budgets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833FD" w:rsidRPr="00010E9D" w:rsidRDefault="00A833FD" w:rsidP="00CD70E9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833FD" w:rsidRPr="00010E9D" w:rsidRDefault="00A833FD" w:rsidP="00CD70E9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111,146</w:t>
            </w:r>
          </w:p>
        </w:tc>
      </w:tr>
      <w:tr w:rsidR="00C9013B" w:rsidTr="004C4B47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C9013B" w:rsidRPr="00010E9D" w:rsidRDefault="00A833FD" w:rsidP="00A833F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One-off funding allocated from reserves not DSG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9013B" w:rsidRPr="00010E9D" w:rsidRDefault="00A833FD" w:rsidP="0088075E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(372)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9013B" w:rsidRPr="00010E9D" w:rsidRDefault="00C9013B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</w:p>
        </w:tc>
      </w:tr>
      <w:tr w:rsidR="004C4B47" w:rsidRPr="004C4B47" w:rsidTr="004C4B47">
        <w:tc>
          <w:tcPr>
            <w:tcW w:w="5517" w:type="dxa"/>
            <w:shd w:val="clear" w:color="auto" w:fill="00B050"/>
          </w:tcPr>
          <w:p w:rsidR="00C9013B" w:rsidRPr="004C4B47" w:rsidRDefault="00C9013B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C4B47">
              <w:rPr>
                <w:b/>
                <w:color w:val="FFFFFF" w:themeColor="background1"/>
                <w:sz w:val="24"/>
                <w:szCs w:val="24"/>
              </w:rPr>
              <w:t>Total Schools Block</w:t>
            </w:r>
          </w:p>
        </w:tc>
        <w:tc>
          <w:tcPr>
            <w:tcW w:w="1409" w:type="dxa"/>
            <w:shd w:val="clear" w:color="auto" w:fill="00B050"/>
          </w:tcPr>
          <w:p w:rsidR="00C9013B" w:rsidRPr="004C4B47" w:rsidRDefault="00A833FD" w:rsidP="00E76589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116,421</w:t>
            </w:r>
          </w:p>
        </w:tc>
        <w:tc>
          <w:tcPr>
            <w:tcW w:w="1409" w:type="dxa"/>
            <w:shd w:val="clear" w:color="auto" w:fill="00B050"/>
          </w:tcPr>
          <w:p w:rsidR="00C9013B" w:rsidRPr="004C4B47" w:rsidRDefault="00511CB6" w:rsidP="00511CB6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119</w:t>
            </w:r>
            <w:r w:rsidR="00C9013B" w:rsidRPr="004C4B47">
              <w:rPr>
                <w:b/>
                <w:color w:val="FFFFFF" w:themeColor="background1"/>
                <w:sz w:val="24"/>
                <w:szCs w:val="24"/>
              </w:rPr>
              <w:t>,</w:t>
            </w:r>
            <w:r>
              <w:rPr>
                <w:b/>
                <w:color w:val="FFFFFF" w:themeColor="background1"/>
                <w:sz w:val="24"/>
                <w:szCs w:val="24"/>
              </w:rPr>
              <w:t>026</w:t>
            </w:r>
          </w:p>
        </w:tc>
      </w:tr>
    </w:tbl>
    <w:p w:rsidR="00AE475F" w:rsidRPr="00BD3873" w:rsidRDefault="00AE475F" w:rsidP="00AE475F">
      <w:pPr>
        <w:pStyle w:val="Header"/>
        <w:tabs>
          <w:tab w:val="clear" w:pos="4153"/>
          <w:tab w:val="clear" w:pos="8306"/>
        </w:tabs>
      </w:pPr>
    </w:p>
    <w:p w:rsidR="00C9013B" w:rsidRPr="00C9013B" w:rsidRDefault="00BD3873" w:rsidP="008D4BA3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rPr>
          <w:szCs w:val="24"/>
        </w:rPr>
        <w:lastRenderedPageBreak/>
        <w:t>The centrally retained items</w:t>
      </w:r>
      <w:r w:rsidR="00C9013B">
        <w:rPr>
          <w:szCs w:val="24"/>
        </w:rPr>
        <w:t xml:space="preserve"> are detailed in the table below</w:t>
      </w:r>
      <w:r>
        <w:rPr>
          <w:szCs w:val="24"/>
        </w:rPr>
        <w:t xml:space="preserve">. </w:t>
      </w:r>
      <w:r w:rsidR="00C9013B">
        <w:rPr>
          <w:szCs w:val="24"/>
        </w:rPr>
        <w:t>Schools forum is asked to confirm the continuation of</w:t>
      </w:r>
      <w:r w:rsidR="00736FD3">
        <w:rPr>
          <w:szCs w:val="24"/>
        </w:rPr>
        <w:t xml:space="preserve"> each of</w:t>
      </w:r>
      <w:r w:rsidR="00C9013B">
        <w:rPr>
          <w:szCs w:val="24"/>
        </w:rPr>
        <w:t xml:space="preserve"> these items for 2017/18.</w:t>
      </w:r>
    </w:p>
    <w:p w:rsidR="00C9013B" w:rsidRDefault="00C9013B" w:rsidP="00C9013B">
      <w:pPr>
        <w:pStyle w:val="Header"/>
        <w:tabs>
          <w:tab w:val="clear" w:pos="4153"/>
          <w:tab w:val="clear" w:pos="8306"/>
        </w:tabs>
        <w:ind w:left="720"/>
        <w:rPr>
          <w:szCs w:val="24"/>
        </w:rPr>
      </w:pPr>
    </w:p>
    <w:p w:rsidR="00C9013B" w:rsidRPr="00C9013B" w:rsidRDefault="00C9013B" w:rsidP="00C9013B">
      <w:pPr>
        <w:pStyle w:val="Header"/>
        <w:tabs>
          <w:tab w:val="clear" w:pos="4153"/>
          <w:tab w:val="clear" w:pos="8306"/>
        </w:tabs>
        <w:ind w:left="720"/>
      </w:pPr>
    </w:p>
    <w:tbl>
      <w:tblPr>
        <w:tblW w:w="833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7"/>
        <w:gridCol w:w="1409"/>
        <w:gridCol w:w="1409"/>
      </w:tblGrid>
      <w:tr w:rsidR="00C9013B" w:rsidRPr="00C9013B" w:rsidTr="00C9013B">
        <w:tc>
          <w:tcPr>
            <w:tcW w:w="5517" w:type="dxa"/>
            <w:shd w:val="clear" w:color="auto" w:fill="00B050"/>
          </w:tcPr>
          <w:p w:rsidR="00C9013B" w:rsidRPr="00C9013B" w:rsidRDefault="00C9013B" w:rsidP="009D0FF0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C9013B" w:rsidRPr="00C9013B" w:rsidRDefault="00C9013B" w:rsidP="009D0FF0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9013B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09" w:type="dxa"/>
            <w:shd w:val="clear" w:color="auto" w:fill="00B050"/>
          </w:tcPr>
          <w:p w:rsidR="00C9013B" w:rsidRPr="00C9013B" w:rsidRDefault="00C9013B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9013B">
              <w:rPr>
                <w:b/>
                <w:color w:val="FFFFFF" w:themeColor="background1"/>
                <w:sz w:val="24"/>
                <w:szCs w:val="24"/>
              </w:rPr>
              <w:t>2017/18</w:t>
            </w:r>
          </w:p>
          <w:p w:rsidR="00C9013B" w:rsidRPr="00C9013B" w:rsidRDefault="00C9013B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9013B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  <w:tc>
          <w:tcPr>
            <w:tcW w:w="1409" w:type="dxa"/>
            <w:shd w:val="clear" w:color="auto" w:fill="00B050"/>
          </w:tcPr>
          <w:p w:rsidR="00C9013B" w:rsidRPr="00C9013B" w:rsidRDefault="00C9013B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9013B">
              <w:rPr>
                <w:b/>
                <w:color w:val="FFFFFF" w:themeColor="background1"/>
                <w:sz w:val="24"/>
                <w:szCs w:val="24"/>
              </w:rPr>
              <w:t>2016/17</w:t>
            </w:r>
          </w:p>
          <w:p w:rsidR="00C9013B" w:rsidRPr="00C9013B" w:rsidRDefault="00C9013B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9013B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</w:tr>
      <w:tr w:rsidR="00C9013B" w:rsidTr="009D0FF0">
        <w:tc>
          <w:tcPr>
            <w:tcW w:w="5517" w:type="dxa"/>
            <w:shd w:val="clear" w:color="auto" w:fill="auto"/>
          </w:tcPr>
          <w:p w:rsidR="00C9013B" w:rsidRPr="00010E9D" w:rsidRDefault="00C9013B" w:rsidP="009D0FF0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Admissions</w:t>
            </w:r>
          </w:p>
        </w:tc>
        <w:tc>
          <w:tcPr>
            <w:tcW w:w="1409" w:type="dxa"/>
          </w:tcPr>
          <w:p w:rsidR="00C9013B" w:rsidRPr="00010E9D" w:rsidRDefault="000F322E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09" w:type="dxa"/>
          </w:tcPr>
          <w:p w:rsidR="00C9013B" w:rsidRPr="00010E9D" w:rsidRDefault="00C9013B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C9013B" w:rsidTr="009D0FF0">
        <w:tc>
          <w:tcPr>
            <w:tcW w:w="5517" w:type="dxa"/>
            <w:shd w:val="clear" w:color="auto" w:fill="auto"/>
          </w:tcPr>
          <w:p w:rsidR="00C9013B" w:rsidRPr="00010E9D" w:rsidRDefault="00CB095C" w:rsidP="00CB095C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Schools Forum</w:t>
            </w:r>
          </w:p>
        </w:tc>
        <w:tc>
          <w:tcPr>
            <w:tcW w:w="1409" w:type="dxa"/>
          </w:tcPr>
          <w:p w:rsidR="00C9013B" w:rsidRPr="00010E9D" w:rsidRDefault="000F322E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C9013B" w:rsidRPr="00010E9D" w:rsidRDefault="00CB095C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9013B" w:rsidTr="009D0FF0">
        <w:tc>
          <w:tcPr>
            <w:tcW w:w="5517" w:type="dxa"/>
            <w:shd w:val="clear" w:color="auto" w:fill="auto"/>
          </w:tcPr>
          <w:p w:rsidR="00C9013B" w:rsidRPr="00010E9D" w:rsidRDefault="00CB095C" w:rsidP="009D0FF0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National </w:t>
            </w:r>
            <w:r>
              <w:t>Copyright Licences</w:t>
            </w:r>
          </w:p>
        </w:tc>
        <w:tc>
          <w:tcPr>
            <w:tcW w:w="1409" w:type="dxa"/>
          </w:tcPr>
          <w:p w:rsidR="00C9013B" w:rsidRPr="00010E9D" w:rsidRDefault="000F322E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09" w:type="dxa"/>
          </w:tcPr>
          <w:p w:rsidR="00C9013B" w:rsidRPr="00010E9D" w:rsidRDefault="00CB095C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0F322E" w:rsidTr="009D0FF0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0F322E" w:rsidRPr="00010E9D" w:rsidRDefault="00EB5A06" w:rsidP="009D0FF0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Prudential</w:t>
            </w:r>
            <w:r w:rsidR="000F322E">
              <w:rPr>
                <w:sz w:val="24"/>
                <w:szCs w:val="24"/>
              </w:rPr>
              <w:t xml:space="preserve"> borrowing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F322E" w:rsidRPr="00010E9D" w:rsidRDefault="000F322E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F322E" w:rsidRPr="00010E9D" w:rsidRDefault="000F322E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0F322E" w:rsidTr="009D0FF0"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:rsidR="000F322E" w:rsidRPr="00010E9D" w:rsidRDefault="00DA5779" w:rsidP="009D0FF0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DA5779">
              <w:rPr>
                <w:sz w:val="24"/>
                <w:szCs w:val="24"/>
              </w:rPr>
              <w:t>Central duties to all schools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F322E" w:rsidRPr="00010E9D" w:rsidRDefault="00DA5779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F322E" w:rsidRPr="00010E9D" w:rsidRDefault="00DA5779" w:rsidP="009D0FF0">
            <w:pPr>
              <w:pStyle w:val="BodyTextIndent3"/>
              <w:ind w:left="-5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013B" w:rsidRPr="00C9013B" w:rsidTr="00C9013B">
        <w:tc>
          <w:tcPr>
            <w:tcW w:w="5517" w:type="dxa"/>
            <w:shd w:val="clear" w:color="auto" w:fill="00B050"/>
          </w:tcPr>
          <w:p w:rsidR="00C9013B" w:rsidRPr="00C9013B" w:rsidRDefault="00C9013B" w:rsidP="009D0FF0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9013B">
              <w:rPr>
                <w:b/>
                <w:color w:val="FFFFFF" w:themeColor="background1"/>
                <w:sz w:val="24"/>
                <w:szCs w:val="24"/>
              </w:rPr>
              <w:t>Total Schools Block</w:t>
            </w:r>
          </w:p>
        </w:tc>
        <w:tc>
          <w:tcPr>
            <w:tcW w:w="1409" w:type="dxa"/>
            <w:shd w:val="clear" w:color="auto" w:fill="00B050"/>
          </w:tcPr>
          <w:p w:rsidR="00C9013B" w:rsidRPr="00C9013B" w:rsidRDefault="00B225B3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999</w:t>
            </w:r>
          </w:p>
        </w:tc>
        <w:tc>
          <w:tcPr>
            <w:tcW w:w="1409" w:type="dxa"/>
            <w:shd w:val="clear" w:color="auto" w:fill="00B050"/>
          </w:tcPr>
          <w:p w:rsidR="00C9013B" w:rsidRPr="00C9013B" w:rsidRDefault="00511CB6" w:rsidP="009D0FF0">
            <w:pPr>
              <w:pStyle w:val="BodyTextIndent3"/>
              <w:ind w:left="-534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600</w:t>
            </w:r>
          </w:p>
        </w:tc>
      </w:tr>
    </w:tbl>
    <w:p w:rsidR="00C9013B" w:rsidRPr="00C9013B" w:rsidRDefault="00C9013B" w:rsidP="00C9013B">
      <w:pPr>
        <w:pStyle w:val="Header"/>
        <w:tabs>
          <w:tab w:val="clear" w:pos="4153"/>
          <w:tab w:val="clear" w:pos="8306"/>
        </w:tabs>
        <w:ind w:left="720"/>
      </w:pPr>
    </w:p>
    <w:p w:rsidR="00B225B3" w:rsidRDefault="0053247D" w:rsidP="00EC2DB9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 xml:space="preserve">The September growth requirement was </w:t>
      </w:r>
      <w:r w:rsidR="00736FD3">
        <w:t>reduced to 940k for 2017/18</w:t>
      </w:r>
      <w:r>
        <w:t xml:space="preserve">. </w:t>
      </w:r>
      <w:r w:rsidR="00B225B3">
        <w:t>The fund is used to support Primary schools with £60k and Secondary schools with £80k additional funding to expand above their existing published admission number from September.</w:t>
      </w:r>
    </w:p>
    <w:p w:rsidR="00B225B3" w:rsidRDefault="00B225B3" w:rsidP="00B225B3">
      <w:pPr>
        <w:pStyle w:val="Header"/>
        <w:tabs>
          <w:tab w:val="clear" w:pos="4153"/>
          <w:tab w:val="clear" w:pos="8306"/>
        </w:tabs>
        <w:ind w:left="720"/>
      </w:pPr>
    </w:p>
    <w:p w:rsidR="00EC2DB9" w:rsidRDefault="00736FD3" w:rsidP="00EC2DB9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>This</w:t>
      </w:r>
      <w:r w:rsidR="00B225B3">
        <w:t xml:space="preserve"> growth fund </w:t>
      </w:r>
      <w:r>
        <w:t xml:space="preserve">was </w:t>
      </w:r>
      <w:r w:rsidR="00B225B3">
        <w:t xml:space="preserve">reduced </w:t>
      </w:r>
      <w:r>
        <w:t xml:space="preserve">to take account of the underspend for 2016/17 identified as part of budget monitoring. The funding will be used to increase AWPU and top-up rates </w:t>
      </w:r>
      <w:r w:rsidR="00B225B3">
        <w:t xml:space="preserve">to primary, secondary and special schools and academies to support the contribution to statutory central duties Merton has to continue to support following the </w:t>
      </w:r>
      <w:r w:rsidR="00EB5A06">
        <w:t>changes</w:t>
      </w:r>
      <w:r w:rsidR="00B225B3">
        <w:t xml:space="preserve"> to the ESG. </w:t>
      </w:r>
    </w:p>
    <w:p w:rsidR="00EC2DB9" w:rsidRDefault="00EC2DB9" w:rsidP="00EC2DB9">
      <w:pPr>
        <w:pStyle w:val="Header"/>
        <w:tabs>
          <w:tab w:val="clear" w:pos="4153"/>
          <w:tab w:val="clear" w:pos="8306"/>
        </w:tabs>
      </w:pPr>
    </w:p>
    <w:p w:rsidR="00EC2DB9" w:rsidRDefault="00B225B3" w:rsidP="008A7C24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>Following the r</w:t>
      </w:r>
      <w:r w:rsidR="00B04DDF">
        <w:t>e-baselining of the DSG</w:t>
      </w:r>
      <w:r w:rsidR="00EB5A06">
        <w:t xml:space="preserve">, it is no longer necessary to make </w:t>
      </w:r>
      <w:r w:rsidR="00B04DDF">
        <w:t>adjustments</w:t>
      </w:r>
      <w:r w:rsidR="00EB5A06">
        <w:t xml:space="preserve"> to the </w:t>
      </w:r>
      <w:r w:rsidR="00B04DDF">
        <w:t>blocks for changes which were</w:t>
      </w:r>
      <w:r w:rsidR="00EB5A06">
        <w:t xml:space="preserve"> agreed for the years up to 2016/17. </w:t>
      </w:r>
      <w:r w:rsidR="00B04DDF">
        <w:t>In order to</w:t>
      </w:r>
      <w:r w:rsidR="00EB5A06">
        <w:t xml:space="preserve"> align the </w:t>
      </w:r>
      <w:r w:rsidR="00B04DDF">
        <w:t>DSG with</w:t>
      </w:r>
      <w:r w:rsidR="00EB5A06">
        <w:t xml:space="preserve"> expected spend f</w:t>
      </w:r>
      <w:r w:rsidR="008A7C24">
        <w:t>or 2</w:t>
      </w:r>
      <w:r w:rsidR="00EB5A06">
        <w:t>017</w:t>
      </w:r>
      <w:r w:rsidR="008A26AD">
        <w:t>/</w:t>
      </w:r>
      <w:r w:rsidR="00EB5A06">
        <w:t>18</w:t>
      </w:r>
      <w:r w:rsidR="008A7C24">
        <w:t xml:space="preserve"> the </w:t>
      </w:r>
      <w:r w:rsidR="00EB5A06">
        <w:t xml:space="preserve">following </w:t>
      </w:r>
      <w:r w:rsidR="008A7C24">
        <w:t xml:space="preserve">transfer </w:t>
      </w:r>
      <w:r w:rsidR="00EB5A06">
        <w:t>is required.</w:t>
      </w:r>
    </w:p>
    <w:p w:rsidR="006A1CB0" w:rsidRDefault="006A1CB0" w:rsidP="006A1CB0">
      <w:pPr>
        <w:pStyle w:val="Header"/>
        <w:tabs>
          <w:tab w:val="clear" w:pos="4153"/>
          <w:tab w:val="clear" w:pos="8306"/>
        </w:tabs>
      </w:pPr>
    </w:p>
    <w:tbl>
      <w:tblPr>
        <w:tblW w:w="845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1150"/>
        <w:gridCol w:w="1132"/>
        <w:gridCol w:w="1132"/>
      </w:tblGrid>
      <w:tr w:rsidR="00202901" w:rsidRPr="00202901" w:rsidTr="00202901">
        <w:tc>
          <w:tcPr>
            <w:tcW w:w="5040" w:type="dxa"/>
            <w:shd w:val="clear" w:color="auto" w:fill="00B050"/>
          </w:tcPr>
          <w:p w:rsidR="007662BC" w:rsidRPr="00202901" w:rsidRDefault="007662BC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7662BC" w:rsidRPr="00202901" w:rsidRDefault="007662BC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7662BC" w:rsidRPr="00202901" w:rsidRDefault="007662BC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50" w:type="dxa"/>
            <w:shd w:val="clear" w:color="auto" w:fill="00B050"/>
          </w:tcPr>
          <w:p w:rsidR="007662BC" w:rsidRPr="00202901" w:rsidRDefault="007662BC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  <w:p w:rsidR="007662BC" w:rsidRPr="00202901" w:rsidRDefault="007662BC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Schools</w:t>
            </w:r>
          </w:p>
          <w:p w:rsidR="007662BC" w:rsidRPr="00202901" w:rsidRDefault="007662BC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  <w:tc>
          <w:tcPr>
            <w:tcW w:w="1132" w:type="dxa"/>
            <w:shd w:val="clear" w:color="auto" w:fill="00B050"/>
          </w:tcPr>
          <w:p w:rsidR="007662BC" w:rsidRPr="00202901" w:rsidRDefault="007662BC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Early Years £000</w:t>
            </w:r>
          </w:p>
        </w:tc>
        <w:tc>
          <w:tcPr>
            <w:tcW w:w="1132" w:type="dxa"/>
            <w:shd w:val="clear" w:color="auto" w:fill="00B050"/>
          </w:tcPr>
          <w:p w:rsidR="007662BC" w:rsidRPr="00202901" w:rsidRDefault="007662BC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High Needs £000</w:t>
            </w:r>
          </w:p>
        </w:tc>
      </w:tr>
      <w:tr w:rsidR="005F7000" w:rsidTr="00202901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000" w:rsidRPr="00171DEA" w:rsidRDefault="00202901" w:rsidP="0020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out of borough </w:t>
            </w:r>
            <w:r w:rsidRPr="00202901">
              <w:rPr>
                <w:rFonts w:ascii="Arial" w:hAnsi="Arial" w:cs="Arial"/>
              </w:rPr>
              <w:t>statement/EHCP placements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5F7000" w:rsidRPr="00010E9D" w:rsidRDefault="00202901" w:rsidP="005F700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(250)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F7000" w:rsidRPr="00010E9D" w:rsidRDefault="005F7000" w:rsidP="005F700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F7000" w:rsidRPr="00010E9D" w:rsidRDefault="00202901" w:rsidP="005F7000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02901" w:rsidRPr="00202901" w:rsidTr="00202901">
        <w:tc>
          <w:tcPr>
            <w:tcW w:w="5040" w:type="dxa"/>
            <w:shd w:val="clear" w:color="auto" w:fill="00B050"/>
          </w:tcPr>
          <w:p w:rsidR="007662BC" w:rsidRPr="00202901" w:rsidRDefault="007662BC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Net Transfer</w:t>
            </w:r>
            <w:r w:rsidR="00202901" w:rsidRPr="00202901">
              <w:rPr>
                <w:b/>
                <w:color w:val="FFFFFF" w:themeColor="background1"/>
                <w:sz w:val="24"/>
                <w:szCs w:val="24"/>
              </w:rPr>
              <w:t xml:space="preserve"> between blocks</w:t>
            </w:r>
          </w:p>
        </w:tc>
        <w:tc>
          <w:tcPr>
            <w:tcW w:w="1150" w:type="dxa"/>
            <w:shd w:val="clear" w:color="auto" w:fill="00B050"/>
          </w:tcPr>
          <w:p w:rsidR="007662BC" w:rsidRPr="00202901" w:rsidRDefault="007B6AC4" w:rsidP="00202901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202901" w:rsidRPr="00202901">
              <w:rPr>
                <w:b/>
                <w:color w:val="FFFFFF" w:themeColor="background1"/>
                <w:sz w:val="24"/>
                <w:szCs w:val="24"/>
              </w:rPr>
              <w:t>250</w:t>
            </w:r>
            <w:r w:rsidR="007662BC" w:rsidRPr="00202901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132" w:type="dxa"/>
            <w:shd w:val="clear" w:color="auto" w:fill="00B050"/>
          </w:tcPr>
          <w:p w:rsidR="007662BC" w:rsidRPr="00202901" w:rsidRDefault="007662BC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00B050"/>
          </w:tcPr>
          <w:p w:rsidR="007662BC" w:rsidRPr="00202901" w:rsidRDefault="00202901" w:rsidP="00CC3C47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02901">
              <w:rPr>
                <w:b/>
                <w:color w:val="FFFFFF" w:themeColor="background1"/>
                <w:sz w:val="24"/>
                <w:szCs w:val="24"/>
              </w:rPr>
              <w:t>250</w:t>
            </w:r>
          </w:p>
        </w:tc>
      </w:tr>
    </w:tbl>
    <w:p w:rsidR="00EC2DB9" w:rsidRDefault="00EC2DB9" w:rsidP="00EC2DB9">
      <w:pPr>
        <w:pStyle w:val="Header"/>
        <w:tabs>
          <w:tab w:val="clear" w:pos="4153"/>
          <w:tab w:val="clear" w:pos="8306"/>
        </w:tabs>
      </w:pPr>
    </w:p>
    <w:p w:rsidR="00202901" w:rsidRDefault="00202901" w:rsidP="002706D3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>As highlighted in the December budget monitoring report, there is a cost pressure from more of Merton’s pupils being placed in out of borough maintained settings. In order to fund this increase we need to move £250k from the schools block to the high needs block.</w:t>
      </w:r>
    </w:p>
    <w:p w:rsidR="00202901" w:rsidRDefault="00202901" w:rsidP="00202901">
      <w:pPr>
        <w:pStyle w:val="Header"/>
        <w:tabs>
          <w:tab w:val="clear" w:pos="4153"/>
          <w:tab w:val="clear" w:pos="8306"/>
        </w:tabs>
        <w:ind w:left="720"/>
      </w:pPr>
    </w:p>
    <w:p w:rsidR="002706D3" w:rsidRDefault="0088075E" w:rsidP="002706D3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>Both Primary and Secondary schools de-delegated budgets have been set based on the decisions made by the relevant phase representatives at Schools Forum on the 13</w:t>
      </w:r>
      <w:r w:rsidRPr="0088075E">
        <w:rPr>
          <w:vertAlign w:val="superscript"/>
        </w:rPr>
        <w:t>th</w:t>
      </w:r>
      <w:r>
        <w:t xml:space="preserve"> October 201</w:t>
      </w:r>
      <w:r w:rsidR="00202901">
        <w:t>6</w:t>
      </w:r>
      <w:r>
        <w:t>.</w:t>
      </w:r>
      <w:r w:rsidR="00822CFC">
        <w:t xml:space="preserve"> The total de-delegated budget for 201</w:t>
      </w:r>
      <w:r w:rsidR="00202901">
        <w:t>7</w:t>
      </w:r>
      <w:r w:rsidR="00822CFC">
        <w:t>/1</w:t>
      </w:r>
      <w:r w:rsidR="00202901">
        <w:t>8</w:t>
      </w:r>
      <w:r w:rsidR="00822CFC">
        <w:t xml:space="preserve"> is £1.</w:t>
      </w:r>
      <w:r w:rsidR="00202901">
        <w:t>808</w:t>
      </w:r>
      <w:r w:rsidR="002706D3">
        <w:t xml:space="preserve">m. </w:t>
      </w:r>
      <w:r w:rsidR="00897470" w:rsidRPr="00A12DEF">
        <w:t>The table below details the total allocation to de-delegated services as well as the unit cost for each of these services.</w:t>
      </w:r>
    </w:p>
    <w:p w:rsidR="00897470" w:rsidRDefault="00897470" w:rsidP="00897470">
      <w:pPr>
        <w:pStyle w:val="ListParagraph"/>
      </w:pPr>
    </w:p>
    <w:p w:rsidR="00897470" w:rsidRDefault="00897470" w:rsidP="00897470">
      <w:pPr>
        <w:pStyle w:val="Header"/>
        <w:tabs>
          <w:tab w:val="clear" w:pos="4153"/>
          <w:tab w:val="clear" w:pos="8306"/>
        </w:tabs>
      </w:pPr>
    </w:p>
    <w:p w:rsidR="00897470" w:rsidRDefault="00897470" w:rsidP="00897470">
      <w:pPr>
        <w:pStyle w:val="Header"/>
        <w:tabs>
          <w:tab w:val="clear" w:pos="4153"/>
          <w:tab w:val="clear" w:pos="8306"/>
        </w:tabs>
      </w:pPr>
    </w:p>
    <w:p w:rsidR="00897470" w:rsidRDefault="00897470" w:rsidP="00897470">
      <w:pPr>
        <w:pStyle w:val="Header"/>
        <w:tabs>
          <w:tab w:val="clear" w:pos="4153"/>
          <w:tab w:val="clear" w:pos="8306"/>
        </w:tabs>
      </w:pPr>
    </w:p>
    <w:p w:rsidR="00897470" w:rsidRDefault="00897470" w:rsidP="00897470">
      <w:pPr>
        <w:pStyle w:val="Header"/>
        <w:tabs>
          <w:tab w:val="clear" w:pos="4153"/>
          <w:tab w:val="clear" w:pos="8306"/>
        </w:tabs>
      </w:pPr>
    </w:p>
    <w:p w:rsidR="00897470" w:rsidRDefault="00897470" w:rsidP="00897470">
      <w:pPr>
        <w:pStyle w:val="Header"/>
        <w:tabs>
          <w:tab w:val="clear" w:pos="4153"/>
          <w:tab w:val="clear" w:pos="8306"/>
        </w:tabs>
      </w:pPr>
    </w:p>
    <w:tbl>
      <w:tblPr>
        <w:tblW w:w="87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2"/>
        <w:gridCol w:w="849"/>
        <w:gridCol w:w="1084"/>
        <w:gridCol w:w="1186"/>
        <w:gridCol w:w="1190"/>
      </w:tblGrid>
      <w:tr w:rsidR="00C23C8F" w:rsidRPr="00C23C8F" w:rsidTr="00C23C8F">
        <w:tc>
          <w:tcPr>
            <w:tcW w:w="4422" w:type="dxa"/>
            <w:shd w:val="clear" w:color="auto" w:fill="00B050"/>
          </w:tcPr>
          <w:p w:rsidR="00897470" w:rsidRPr="00C23C8F" w:rsidRDefault="00897470" w:rsidP="00CD70E9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897470" w:rsidRPr="00C23C8F" w:rsidRDefault="00897470" w:rsidP="00CD70E9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849" w:type="dxa"/>
            <w:shd w:val="clear" w:color="auto" w:fill="00B050"/>
          </w:tcPr>
          <w:p w:rsidR="00897470" w:rsidRPr="00C23C8F" w:rsidRDefault="00897470" w:rsidP="00897470">
            <w:pPr>
              <w:pStyle w:val="BodyTextIndent3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Total</w:t>
            </w:r>
          </w:p>
          <w:p w:rsidR="00897470" w:rsidRPr="00C23C8F" w:rsidRDefault="00897470" w:rsidP="00897470">
            <w:pPr>
              <w:pStyle w:val="BodyTextIndent3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£000</w:t>
            </w:r>
          </w:p>
        </w:tc>
        <w:tc>
          <w:tcPr>
            <w:tcW w:w="1084" w:type="dxa"/>
            <w:shd w:val="clear" w:color="auto" w:fill="00B050"/>
          </w:tcPr>
          <w:p w:rsidR="00897470" w:rsidRPr="00C23C8F" w:rsidRDefault="00897470" w:rsidP="00897470">
            <w:pPr>
              <w:pStyle w:val="BodyTextIndent3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2017/18 Unit Cost</w:t>
            </w:r>
          </w:p>
        </w:tc>
        <w:tc>
          <w:tcPr>
            <w:tcW w:w="1186" w:type="dxa"/>
            <w:shd w:val="clear" w:color="auto" w:fill="00B050"/>
          </w:tcPr>
          <w:p w:rsidR="00897470" w:rsidRPr="00C23C8F" w:rsidRDefault="00897470" w:rsidP="00897470">
            <w:pPr>
              <w:pStyle w:val="BodyTextIndent3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2016/17 Unit Cost</w:t>
            </w:r>
          </w:p>
        </w:tc>
        <w:tc>
          <w:tcPr>
            <w:tcW w:w="1190" w:type="dxa"/>
            <w:shd w:val="clear" w:color="auto" w:fill="00B050"/>
          </w:tcPr>
          <w:p w:rsidR="00897470" w:rsidRPr="00C23C8F" w:rsidRDefault="00897470" w:rsidP="00897470">
            <w:pPr>
              <w:pStyle w:val="BodyTextIndent3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97470" w:rsidRPr="00C23C8F" w:rsidRDefault="00897470" w:rsidP="00897470">
            <w:pPr>
              <w:pStyle w:val="BodyTextIndent3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Measure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Licences and Subscriptions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7659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A4765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5.</w:t>
            </w:r>
            <w:r w:rsidR="00A47659">
              <w:rPr>
                <w:sz w:val="24"/>
                <w:szCs w:val="24"/>
              </w:rPr>
              <w:t>41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5.29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School Meals Subsidy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Schools in Challenging Circumstances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13.87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13.87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Marketing in Schools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 w:rsidR="00A47659">
              <w:rPr>
                <w:sz w:val="24"/>
                <w:szCs w:val="24"/>
              </w:rPr>
              <w:t>1.39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3.24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Merton Education Partnership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£6.14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£6.14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 xml:space="preserve">Parenting </w:t>
            </w:r>
            <w:r>
              <w:rPr>
                <w:sz w:val="24"/>
                <w:szCs w:val="24"/>
              </w:rPr>
              <w:t>and TU c</w:t>
            </w:r>
            <w:r w:rsidRPr="00010E9D">
              <w:rPr>
                <w:sz w:val="24"/>
                <w:szCs w:val="24"/>
              </w:rPr>
              <w:t>over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A47659">
              <w:rPr>
                <w:sz w:val="24"/>
                <w:szCs w:val="24"/>
              </w:rPr>
              <w:t>5.5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£31.17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Refugee Service  and EMAG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7659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4</w:t>
            </w:r>
            <w:r w:rsidR="00A47659">
              <w:rPr>
                <w:sz w:val="24"/>
                <w:szCs w:val="24"/>
              </w:rPr>
              <w:t>3.29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42.01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EAL</w:t>
            </w:r>
          </w:p>
        </w:tc>
      </w:tr>
      <w:tr w:rsidR="00897470" w:rsidTr="00A47659">
        <w:tc>
          <w:tcPr>
            <w:tcW w:w="4422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Tree work</w:t>
            </w:r>
          </w:p>
        </w:tc>
        <w:tc>
          <w:tcPr>
            <w:tcW w:w="849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4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2.13</w:t>
            </w:r>
          </w:p>
        </w:tc>
        <w:tc>
          <w:tcPr>
            <w:tcW w:w="1186" w:type="dxa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2.13</w:t>
            </w:r>
          </w:p>
        </w:tc>
        <w:tc>
          <w:tcPr>
            <w:tcW w:w="1190" w:type="dxa"/>
            <w:shd w:val="clear" w:color="auto" w:fill="auto"/>
          </w:tcPr>
          <w:p w:rsidR="00897470" w:rsidRPr="00010E9D" w:rsidRDefault="00897470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NOR</w:t>
            </w:r>
          </w:p>
        </w:tc>
      </w:tr>
      <w:tr w:rsidR="00A47659" w:rsidTr="00A47659">
        <w:tc>
          <w:tcPr>
            <w:tcW w:w="4422" w:type="dxa"/>
            <w:shd w:val="clear" w:color="auto" w:fill="auto"/>
          </w:tcPr>
          <w:p w:rsidR="00A47659" w:rsidRPr="00010E9D" w:rsidRDefault="00A47659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Behaviour Support</w:t>
            </w:r>
          </w:p>
        </w:tc>
        <w:tc>
          <w:tcPr>
            <w:tcW w:w="849" w:type="dxa"/>
            <w:shd w:val="clear" w:color="auto" w:fill="auto"/>
          </w:tcPr>
          <w:p w:rsidR="00A47659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084" w:type="dxa"/>
            <w:shd w:val="clear" w:color="auto" w:fill="auto"/>
          </w:tcPr>
          <w:p w:rsidR="00A47659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33.09</w:t>
            </w:r>
          </w:p>
        </w:tc>
        <w:tc>
          <w:tcPr>
            <w:tcW w:w="1186" w:type="dxa"/>
          </w:tcPr>
          <w:p w:rsidR="00A47659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35.34</w:t>
            </w:r>
          </w:p>
        </w:tc>
        <w:tc>
          <w:tcPr>
            <w:tcW w:w="1190" w:type="dxa"/>
            <w:shd w:val="clear" w:color="auto" w:fill="auto"/>
          </w:tcPr>
          <w:p w:rsidR="00A47659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Low Att</w:t>
            </w:r>
          </w:p>
        </w:tc>
      </w:tr>
      <w:tr w:rsidR="00897470" w:rsidTr="00C23C8F"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897470" w:rsidRPr="00010E9D" w:rsidRDefault="00A47659" w:rsidP="00CD70E9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97470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A47659" w:rsidRPr="00010E9D" w:rsidRDefault="00897470" w:rsidP="00A4765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£</w:t>
            </w:r>
            <w:r w:rsidR="00A47659">
              <w:rPr>
                <w:sz w:val="24"/>
                <w:szCs w:val="24"/>
              </w:rPr>
              <w:t>1.43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97470" w:rsidRPr="00010E9D" w:rsidRDefault="00A47659" w:rsidP="00A47659">
            <w:pPr>
              <w:pStyle w:val="BodyTextIndent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897470" w:rsidRPr="00010E9D" w:rsidRDefault="00A47659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</w:t>
            </w:r>
          </w:p>
        </w:tc>
      </w:tr>
      <w:tr w:rsidR="00C23C8F" w:rsidRPr="00C23C8F" w:rsidTr="00C23C8F">
        <w:tc>
          <w:tcPr>
            <w:tcW w:w="4422" w:type="dxa"/>
            <w:shd w:val="clear" w:color="auto" w:fill="00B050"/>
          </w:tcPr>
          <w:p w:rsidR="00897470" w:rsidRPr="00C23C8F" w:rsidRDefault="00897470" w:rsidP="00CD70E9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Total budget</w:t>
            </w:r>
          </w:p>
        </w:tc>
        <w:tc>
          <w:tcPr>
            <w:tcW w:w="849" w:type="dxa"/>
            <w:shd w:val="clear" w:color="auto" w:fill="00B050"/>
          </w:tcPr>
          <w:p w:rsidR="00897470" w:rsidRPr="00C23C8F" w:rsidRDefault="00897470" w:rsidP="00CD70E9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1,</w:t>
            </w:r>
            <w:r w:rsidR="00A47659" w:rsidRPr="00C23C8F">
              <w:rPr>
                <w:b/>
                <w:color w:val="FFFFFF" w:themeColor="background1"/>
                <w:sz w:val="24"/>
                <w:szCs w:val="24"/>
              </w:rPr>
              <w:t>808</w:t>
            </w:r>
          </w:p>
        </w:tc>
        <w:tc>
          <w:tcPr>
            <w:tcW w:w="1084" w:type="dxa"/>
            <w:shd w:val="clear" w:color="auto" w:fill="00B050"/>
          </w:tcPr>
          <w:p w:rsidR="00897470" w:rsidRPr="00C23C8F" w:rsidRDefault="00897470" w:rsidP="00CD70E9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97470" w:rsidRPr="00C23C8F" w:rsidRDefault="00897470" w:rsidP="00CD70E9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00B050"/>
          </w:tcPr>
          <w:p w:rsidR="00897470" w:rsidRPr="00C23C8F" w:rsidRDefault="00897470" w:rsidP="00CD70E9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13595A" w:rsidRPr="00C4634B" w:rsidRDefault="0013595A" w:rsidP="0013595A">
      <w:pPr>
        <w:pStyle w:val="Header"/>
        <w:tabs>
          <w:tab w:val="clear" w:pos="4153"/>
          <w:tab w:val="clear" w:pos="8306"/>
        </w:tabs>
        <w:ind w:left="720"/>
        <w:rPr>
          <w:sz w:val="16"/>
          <w:szCs w:val="16"/>
        </w:rPr>
      </w:pPr>
      <w:r>
        <w:t>(</w:t>
      </w:r>
      <w:r>
        <w:rPr>
          <w:sz w:val="16"/>
          <w:szCs w:val="16"/>
        </w:rPr>
        <w:t>NOR= Number on Roll; EAL factor= English as an Additional Language; Low Att= Lower Attainment factor for low cost, high incidence SEN)</w:t>
      </w:r>
    </w:p>
    <w:p w:rsidR="00502787" w:rsidRDefault="00502787" w:rsidP="00502787">
      <w:pPr>
        <w:pStyle w:val="Header"/>
        <w:tabs>
          <w:tab w:val="clear" w:pos="4153"/>
          <w:tab w:val="clear" w:pos="8306"/>
        </w:tabs>
        <w:ind w:left="720"/>
      </w:pPr>
    </w:p>
    <w:p w:rsidR="00EC2DB9" w:rsidRDefault="0013595A" w:rsidP="00EC2DB9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>In order to maintain the statutory central duties to Merton maintained schools (old ESG funded services), s</w:t>
      </w:r>
      <w:r w:rsidRPr="00E36C5F">
        <w:t xml:space="preserve">chools </w:t>
      </w:r>
      <w:r>
        <w:t xml:space="preserve">are required </w:t>
      </w:r>
      <w:r w:rsidR="00A833FD">
        <w:t>to make a contribution</w:t>
      </w:r>
      <w:r>
        <w:t xml:space="preserve"> towards</w:t>
      </w:r>
      <w:r w:rsidR="00A833FD">
        <w:t xml:space="preserve"> these services</w:t>
      </w:r>
      <w:r w:rsidRPr="00E36C5F">
        <w:t xml:space="preserve"> based on numbers on roll through the AWPU factor</w:t>
      </w:r>
      <w:r w:rsidR="00A833FD">
        <w:t xml:space="preserve"> (top-up NOR for special schools)</w:t>
      </w:r>
      <w:r w:rsidRPr="00E36C5F">
        <w:t>. The cost to primary</w:t>
      </w:r>
      <w:r>
        <w:t xml:space="preserve">, </w:t>
      </w:r>
      <w:r w:rsidRPr="00E36C5F">
        <w:t xml:space="preserve">secondary </w:t>
      </w:r>
      <w:r>
        <w:t xml:space="preserve">and special </w:t>
      </w:r>
      <w:r w:rsidRPr="00E36C5F">
        <w:t xml:space="preserve">schools </w:t>
      </w:r>
      <w:r>
        <w:t xml:space="preserve">will be </w:t>
      </w:r>
      <w:r w:rsidRPr="00E36C5F">
        <w:t>£</w:t>
      </w:r>
      <w:r>
        <w:t>23.11</w:t>
      </w:r>
      <w:r w:rsidRPr="00E36C5F">
        <w:t xml:space="preserve"> per pupil on roll </w:t>
      </w:r>
      <w:r w:rsidR="00A833FD">
        <w:t>to pr</w:t>
      </w:r>
      <w:r w:rsidRPr="00E36C5F">
        <w:t>ovide an ove</w:t>
      </w:r>
      <w:r>
        <w:t xml:space="preserve">rall de-delegated budget of £500k in 2017/18 </w:t>
      </w:r>
      <w:r w:rsidR="00A833FD">
        <w:t xml:space="preserve">(£489k for schools block and £11k from high needs block). This is estimated to increase to £38.27 in 2018/19 to provide an overall budget of </w:t>
      </w:r>
      <w:r>
        <w:t>£828k</w:t>
      </w:r>
      <w:r w:rsidRPr="00E36C5F">
        <w:t>.</w:t>
      </w:r>
    </w:p>
    <w:p w:rsidR="0013595A" w:rsidRDefault="0013595A" w:rsidP="0013595A">
      <w:pPr>
        <w:pStyle w:val="Header"/>
        <w:tabs>
          <w:tab w:val="clear" w:pos="4153"/>
          <w:tab w:val="clear" w:pos="8306"/>
        </w:tabs>
        <w:ind w:left="720"/>
      </w:pPr>
    </w:p>
    <w:p w:rsidR="0013595A" w:rsidRDefault="00082785" w:rsidP="00EC2DB9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 xml:space="preserve">The </w:t>
      </w:r>
      <w:r w:rsidR="00B04DDF">
        <w:t>total</w:t>
      </w:r>
      <w:r>
        <w:t xml:space="preserve"> amount to be paid to schools and academies for 2017/18 as part of the </w:t>
      </w:r>
      <w:r w:rsidR="00B04DDF">
        <w:t>Individual</w:t>
      </w:r>
      <w:r>
        <w:t xml:space="preserve"> Schools Budget is </w:t>
      </w:r>
      <w:r w:rsidR="0013595A">
        <w:t>£</w:t>
      </w:r>
      <w:r>
        <w:t>112</w:t>
      </w:r>
      <w:r w:rsidR="0013595A">
        <w:t>.</w:t>
      </w:r>
      <w:r>
        <w:t>307</w:t>
      </w:r>
      <w:r w:rsidR="0013595A">
        <w:t>m</w:t>
      </w:r>
      <w:r>
        <w:t>. Details of this</w:t>
      </w:r>
      <w:r w:rsidR="0013595A">
        <w:t xml:space="preserve"> </w:t>
      </w:r>
      <w:r>
        <w:t xml:space="preserve">allocation of </w:t>
      </w:r>
      <w:r w:rsidR="0013595A">
        <w:t>can be found at Appendix 1.</w:t>
      </w:r>
    </w:p>
    <w:p w:rsidR="00082785" w:rsidRDefault="00082785" w:rsidP="00082785">
      <w:pPr>
        <w:pStyle w:val="ListParagraph"/>
      </w:pPr>
    </w:p>
    <w:p w:rsidR="00082785" w:rsidRPr="00A12DEF" w:rsidRDefault="00082785" w:rsidP="00EC2DB9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 xml:space="preserve">The amount allocated to schools in 2017/18 was increased by </w:t>
      </w:r>
      <w:r w:rsidR="00B04DDF">
        <w:t>a</w:t>
      </w:r>
      <w:r>
        <w:t xml:space="preserve"> one-off reserve allocation of </w:t>
      </w:r>
      <w:r w:rsidR="00B04DDF">
        <w:t>£372k. This relates to the</w:t>
      </w:r>
      <w:r>
        <w:t xml:space="preserve"> 2015/16 DSG </w:t>
      </w:r>
      <w:r w:rsidR="00B04DDF">
        <w:t>underspend</w:t>
      </w:r>
      <w:r>
        <w:t xml:space="preserve"> and was agreed by schools forum at their meeting on the 16</w:t>
      </w:r>
      <w:r w:rsidRPr="00082785">
        <w:rPr>
          <w:vertAlign w:val="superscript"/>
        </w:rPr>
        <w:t>th</w:t>
      </w:r>
      <w:r>
        <w:t xml:space="preserve"> June 2016.</w:t>
      </w:r>
    </w:p>
    <w:p w:rsidR="00502787" w:rsidRDefault="00502787" w:rsidP="00502787">
      <w:pPr>
        <w:pStyle w:val="Header"/>
        <w:tabs>
          <w:tab w:val="clear" w:pos="4153"/>
          <w:tab w:val="clear" w:pos="8306"/>
        </w:tabs>
        <w:ind w:left="720"/>
      </w:pPr>
    </w:p>
    <w:p w:rsidR="00904A8D" w:rsidRPr="008A26AD" w:rsidRDefault="00663BD2" w:rsidP="008A26A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School Funding Formula Factors</w:t>
      </w:r>
    </w:p>
    <w:p w:rsidR="008A26AD" w:rsidRDefault="008A26AD" w:rsidP="008A26AD">
      <w:pPr>
        <w:ind w:left="720"/>
        <w:rPr>
          <w:rFonts w:ascii="Arial" w:hAnsi="Arial"/>
          <w:szCs w:val="20"/>
        </w:rPr>
      </w:pPr>
    </w:p>
    <w:p w:rsidR="008A26AD" w:rsidRDefault="008A26AD" w:rsidP="00663BD2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 summary of the factors used and the total budgets allocated against each factor</w:t>
      </w:r>
      <w:r w:rsidR="00A12DEF">
        <w:rPr>
          <w:rFonts w:ascii="Arial" w:hAnsi="Arial"/>
          <w:szCs w:val="20"/>
        </w:rPr>
        <w:t xml:space="preserve"> for all schools</w:t>
      </w:r>
      <w:r>
        <w:rPr>
          <w:rFonts w:ascii="Arial" w:hAnsi="Arial"/>
          <w:szCs w:val="20"/>
        </w:rPr>
        <w:t xml:space="preserve"> is set out in the funding </w:t>
      </w:r>
      <w:r w:rsidR="00EB5A06">
        <w:rPr>
          <w:rFonts w:ascii="Arial" w:hAnsi="Arial"/>
          <w:szCs w:val="20"/>
        </w:rPr>
        <w:t>pro-forma</w:t>
      </w:r>
      <w:r w:rsidR="00D06521">
        <w:rPr>
          <w:rFonts w:ascii="Arial" w:hAnsi="Arial"/>
          <w:szCs w:val="20"/>
        </w:rPr>
        <w:t xml:space="preserve"> which can be found at A</w:t>
      </w:r>
      <w:r>
        <w:rPr>
          <w:rFonts w:ascii="Arial" w:hAnsi="Arial"/>
          <w:szCs w:val="20"/>
        </w:rPr>
        <w:t>ppendix 2.</w:t>
      </w:r>
    </w:p>
    <w:p w:rsidR="00141A2C" w:rsidRDefault="00141A2C" w:rsidP="00141A2C">
      <w:pPr>
        <w:ind w:left="720"/>
        <w:rPr>
          <w:rFonts w:ascii="Arial" w:hAnsi="Arial"/>
          <w:szCs w:val="20"/>
        </w:rPr>
      </w:pPr>
    </w:p>
    <w:p w:rsidR="00424D25" w:rsidRDefault="004452D0" w:rsidP="00424D25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 w:rsidRPr="00082785">
        <w:rPr>
          <w:rFonts w:ascii="Arial" w:hAnsi="Arial"/>
          <w:szCs w:val="20"/>
        </w:rPr>
        <w:t xml:space="preserve">AWPU rates </w:t>
      </w:r>
      <w:r w:rsidR="008A2EB2" w:rsidRPr="00082785">
        <w:rPr>
          <w:rFonts w:ascii="Arial" w:hAnsi="Arial"/>
          <w:szCs w:val="20"/>
        </w:rPr>
        <w:t xml:space="preserve">for Primary and Secondary KS3 and KS4 </w:t>
      </w:r>
      <w:r w:rsidR="00082785">
        <w:rPr>
          <w:rFonts w:ascii="Arial" w:hAnsi="Arial"/>
          <w:szCs w:val="20"/>
        </w:rPr>
        <w:t xml:space="preserve">has been uplifted this year to take account of the additional £1.43 cost to schools for school improvement, £23.11 for the statutory central </w:t>
      </w:r>
      <w:r w:rsidR="005175A2">
        <w:rPr>
          <w:rFonts w:ascii="Arial" w:hAnsi="Arial"/>
          <w:szCs w:val="20"/>
        </w:rPr>
        <w:t xml:space="preserve">education function reduction and an additional £28.2 through using the one-off reserves and other movements in the schools block budget. We were able to do this in the anticipation of a higher national funding formula allocation to schools in 2018/19 which </w:t>
      </w:r>
      <w:r w:rsidR="004873E5">
        <w:rPr>
          <w:rFonts w:ascii="Arial" w:hAnsi="Arial"/>
          <w:szCs w:val="20"/>
        </w:rPr>
        <w:t>should</w:t>
      </w:r>
      <w:r w:rsidR="005175A2">
        <w:rPr>
          <w:rFonts w:ascii="Arial" w:hAnsi="Arial"/>
          <w:szCs w:val="20"/>
        </w:rPr>
        <w:t xml:space="preserve"> enable us to maintain </w:t>
      </w:r>
      <w:r w:rsidR="004873E5">
        <w:rPr>
          <w:rFonts w:ascii="Arial" w:hAnsi="Arial"/>
          <w:szCs w:val="20"/>
        </w:rPr>
        <w:t>these</w:t>
      </w:r>
      <w:r w:rsidR="005175A2">
        <w:rPr>
          <w:rFonts w:ascii="Arial" w:hAnsi="Arial"/>
          <w:szCs w:val="20"/>
        </w:rPr>
        <w:t xml:space="preserve"> rates in future.</w:t>
      </w:r>
      <w:r w:rsidR="00165D1D" w:rsidRPr="00082785">
        <w:rPr>
          <w:rFonts w:ascii="Arial" w:hAnsi="Arial"/>
          <w:szCs w:val="20"/>
        </w:rPr>
        <w:t xml:space="preserve"> </w:t>
      </w:r>
    </w:p>
    <w:p w:rsidR="004873E5" w:rsidRDefault="004873E5" w:rsidP="004873E5">
      <w:pPr>
        <w:pStyle w:val="ListParagraph"/>
        <w:rPr>
          <w:rFonts w:ascii="Arial" w:hAnsi="Arial"/>
          <w:szCs w:val="20"/>
        </w:rPr>
      </w:pPr>
    </w:p>
    <w:p w:rsidR="004873E5" w:rsidRPr="00082785" w:rsidRDefault="004873E5" w:rsidP="004873E5">
      <w:pPr>
        <w:rPr>
          <w:rFonts w:ascii="Arial" w:hAnsi="Arial"/>
          <w:szCs w:val="20"/>
        </w:rPr>
      </w:pPr>
    </w:p>
    <w:tbl>
      <w:tblPr>
        <w:tblW w:w="845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5"/>
        <w:gridCol w:w="1350"/>
        <w:gridCol w:w="1543"/>
      </w:tblGrid>
      <w:tr w:rsidR="00C23C8F" w:rsidRPr="00C23C8F" w:rsidTr="00C23C8F">
        <w:tc>
          <w:tcPr>
            <w:tcW w:w="5565" w:type="dxa"/>
            <w:shd w:val="clear" w:color="auto" w:fill="00B050"/>
          </w:tcPr>
          <w:p w:rsidR="005175A2" w:rsidRPr="00C23C8F" w:rsidRDefault="005175A2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:rsidR="005175A2" w:rsidRPr="00C23C8F" w:rsidRDefault="005175A2" w:rsidP="00010E9D">
            <w:pPr>
              <w:pStyle w:val="BodyTextIndent3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shd w:val="clear" w:color="auto" w:fill="00B050"/>
          </w:tcPr>
          <w:p w:rsidR="005175A2" w:rsidRPr="00C23C8F" w:rsidRDefault="005175A2" w:rsidP="00010E9D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2017/18</w:t>
            </w:r>
          </w:p>
        </w:tc>
        <w:tc>
          <w:tcPr>
            <w:tcW w:w="1543" w:type="dxa"/>
            <w:shd w:val="clear" w:color="auto" w:fill="00B050"/>
          </w:tcPr>
          <w:p w:rsidR="005175A2" w:rsidRPr="00C23C8F" w:rsidRDefault="005175A2" w:rsidP="00CD70E9">
            <w:pPr>
              <w:pStyle w:val="BodyTextIndent3"/>
              <w:ind w:left="0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C23C8F">
              <w:rPr>
                <w:b/>
                <w:color w:val="FFFFFF" w:themeColor="background1"/>
                <w:sz w:val="24"/>
                <w:szCs w:val="24"/>
              </w:rPr>
              <w:t>2016/17</w:t>
            </w:r>
          </w:p>
        </w:tc>
      </w:tr>
      <w:tr w:rsidR="005175A2" w:rsidTr="005175A2">
        <w:tc>
          <w:tcPr>
            <w:tcW w:w="5565" w:type="dxa"/>
            <w:shd w:val="clear" w:color="auto" w:fill="auto"/>
          </w:tcPr>
          <w:p w:rsidR="005175A2" w:rsidRPr="00010E9D" w:rsidRDefault="005175A2" w:rsidP="00010E9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Primary</w:t>
            </w:r>
          </w:p>
        </w:tc>
        <w:tc>
          <w:tcPr>
            <w:tcW w:w="1350" w:type="dxa"/>
            <w:shd w:val="clear" w:color="auto" w:fill="auto"/>
          </w:tcPr>
          <w:p w:rsidR="005175A2" w:rsidRPr="00010E9D" w:rsidRDefault="005175A2" w:rsidP="005175A2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£3,305</w:t>
            </w:r>
          </w:p>
        </w:tc>
        <w:tc>
          <w:tcPr>
            <w:tcW w:w="1543" w:type="dxa"/>
          </w:tcPr>
          <w:p w:rsidR="005175A2" w:rsidRPr="00010E9D" w:rsidRDefault="005175A2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£3,253</w:t>
            </w:r>
          </w:p>
        </w:tc>
      </w:tr>
      <w:tr w:rsidR="005175A2" w:rsidTr="005175A2">
        <w:tc>
          <w:tcPr>
            <w:tcW w:w="5565" w:type="dxa"/>
            <w:shd w:val="clear" w:color="auto" w:fill="auto"/>
          </w:tcPr>
          <w:p w:rsidR="005175A2" w:rsidRPr="00010E9D" w:rsidRDefault="005175A2" w:rsidP="00010E9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Secondary Key Stage 3</w:t>
            </w:r>
          </w:p>
        </w:tc>
        <w:tc>
          <w:tcPr>
            <w:tcW w:w="1350" w:type="dxa"/>
            <w:shd w:val="clear" w:color="auto" w:fill="auto"/>
          </w:tcPr>
          <w:p w:rsidR="005175A2" w:rsidRPr="00010E9D" w:rsidRDefault="005175A2" w:rsidP="005175A2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£4,326</w:t>
            </w:r>
          </w:p>
        </w:tc>
        <w:tc>
          <w:tcPr>
            <w:tcW w:w="1543" w:type="dxa"/>
          </w:tcPr>
          <w:p w:rsidR="005175A2" w:rsidRPr="00010E9D" w:rsidRDefault="005175A2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£4,274</w:t>
            </w:r>
          </w:p>
        </w:tc>
      </w:tr>
      <w:tr w:rsidR="005175A2" w:rsidTr="005175A2">
        <w:tc>
          <w:tcPr>
            <w:tcW w:w="5565" w:type="dxa"/>
            <w:shd w:val="clear" w:color="auto" w:fill="auto"/>
          </w:tcPr>
          <w:p w:rsidR="005175A2" w:rsidRPr="00010E9D" w:rsidRDefault="005175A2" w:rsidP="00010E9D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r w:rsidRPr="00010E9D">
              <w:rPr>
                <w:sz w:val="24"/>
                <w:szCs w:val="24"/>
              </w:rPr>
              <w:t>Secondary Key Stage 4</w:t>
            </w:r>
          </w:p>
        </w:tc>
        <w:tc>
          <w:tcPr>
            <w:tcW w:w="1350" w:type="dxa"/>
            <w:shd w:val="clear" w:color="auto" w:fill="auto"/>
          </w:tcPr>
          <w:p w:rsidR="005175A2" w:rsidRPr="00010E9D" w:rsidRDefault="005175A2" w:rsidP="005623FC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£5,229</w:t>
            </w:r>
          </w:p>
        </w:tc>
        <w:tc>
          <w:tcPr>
            <w:tcW w:w="1543" w:type="dxa"/>
          </w:tcPr>
          <w:p w:rsidR="005175A2" w:rsidRPr="00010E9D" w:rsidRDefault="005175A2" w:rsidP="00CD70E9">
            <w:pPr>
              <w:pStyle w:val="BodyTextIndent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£5,177</w:t>
            </w:r>
          </w:p>
        </w:tc>
      </w:tr>
    </w:tbl>
    <w:p w:rsidR="00683B04" w:rsidRDefault="00683B04" w:rsidP="00683B04">
      <w:pPr>
        <w:ind w:left="720"/>
        <w:rPr>
          <w:rFonts w:ascii="Arial" w:hAnsi="Arial"/>
          <w:szCs w:val="20"/>
        </w:rPr>
      </w:pPr>
    </w:p>
    <w:p w:rsidR="00FA64AC" w:rsidRDefault="00FA64AC" w:rsidP="00663BD2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Free School Meals factor </w:t>
      </w:r>
      <w:r w:rsidR="008A2EB2">
        <w:rPr>
          <w:rFonts w:ascii="Arial" w:hAnsi="Arial"/>
          <w:szCs w:val="20"/>
        </w:rPr>
        <w:t>unit v</w:t>
      </w:r>
      <w:r w:rsidR="00CC5EAD">
        <w:rPr>
          <w:rFonts w:ascii="Arial" w:hAnsi="Arial"/>
          <w:szCs w:val="20"/>
        </w:rPr>
        <w:t>alues were kept the same as 2016/17</w:t>
      </w:r>
      <w:r w:rsidR="008A2EB2">
        <w:rPr>
          <w:rFonts w:ascii="Arial" w:hAnsi="Arial"/>
          <w:szCs w:val="20"/>
        </w:rPr>
        <w:t xml:space="preserve"> at £683.52 for Primary and £632.69 for Secondary schools. Through the formula this resulted in a total </w:t>
      </w:r>
      <w:r w:rsidR="00CC3C47">
        <w:rPr>
          <w:rFonts w:ascii="Arial" w:hAnsi="Arial"/>
          <w:szCs w:val="20"/>
        </w:rPr>
        <w:t>budget</w:t>
      </w:r>
      <w:r>
        <w:rPr>
          <w:rFonts w:ascii="Arial" w:hAnsi="Arial"/>
          <w:szCs w:val="20"/>
        </w:rPr>
        <w:t xml:space="preserve"> </w:t>
      </w:r>
      <w:r w:rsidR="008A2EB2">
        <w:rPr>
          <w:rFonts w:ascii="Arial" w:hAnsi="Arial"/>
          <w:szCs w:val="20"/>
        </w:rPr>
        <w:t xml:space="preserve">allocation of </w:t>
      </w:r>
      <w:r>
        <w:rPr>
          <w:rFonts w:ascii="Arial" w:hAnsi="Arial"/>
          <w:szCs w:val="20"/>
        </w:rPr>
        <w:t>£</w:t>
      </w:r>
      <w:r w:rsidR="00CC5EAD">
        <w:rPr>
          <w:rFonts w:ascii="Arial" w:hAnsi="Arial"/>
          <w:szCs w:val="20"/>
        </w:rPr>
        <w:t>2.368</w:t>
      </w:r>
      <w:r w:rsidR="00683B04">
        <w:rPr>
          <w:rFonts w:ascii="Arial" w:hAnsi="Arial"/>
          <w:szCs w:val="20"/>
        </w:rPr>
        <w:t xml:space="preserve">m </w:t>
      </w:r>
      <w:r w:rsidR="00CC5EAD">
        <w:rPr>
          <w:rFonts w:ascii="Arial" w:hAnsi="Arial"/>
          <w:szCs w:val="20"/>
        </w:rPr>
        <w:t>(£2.399</w:t>
      </w:r>
      <w:r w:rsidR="00141A2C">
        <w:rPr>
          <w:rFonts w:ascii="Arial" w:hAnsi="Arial"/>
          <w:szCs w:val="20"/>
        </w:rPr>
        <w:t>m in 201</w:t>
      </w:r>
      <w:r w:rsidR="00CC5EAD">
        <w:rPr>
          <w:rFonts w:ascii="Arial" w:hAnsi="Arial"/>
          <w:szCs w:val="20"/>
        </w:rPr>
        <w:t>6/17</w:t>
      </w:r>
      <w:r w:rsidR="00284411">
        <w:rPr>
          <w:rFonts w:ascii="Arial" w:hAnsi="Arial"/>
          <w:szCs w:val="20"/>
        </w:rPr>
        <w:t xml:space="preserve">) </w:t>
      </w:r>
      <w:r w:rsidR="00683B04">
        <w:rPr>
          <w:rFonts w:ascii="Arial" w:hAnsi="Arial"/>
          <w:szCs w:val="20"/>
        </w:rPr>
        <w:t xml:space="preserve">and </w:t>
      </w:r>
      <w:r w:rsidR="00CC5EAD">
        <w:rPr>
          <w:rFonts w:ascii="Arial" w:hAnsi="Arial"/>
          <w:szCs w:val="20"/>
        </w:rPr>
        <w:t>£1.442</w:t>
      </w:r>
      <w:r w:rsidR="00D20AC0">
        <w:rPr>
          <w:rFonts w:ascii="Arial" w:hAnsi="Arial"/>
          <w:szCs w:val="20"/>
        </w:rPr>
        <w:t>m</w:t>
      </w:r>
      <w:r w:rsidR="00284411">
        <w:rPr>
          <w:rFonts w:ascii="Arial" w:hAnsi="Arial"/>
          <w:szCs w:val="20"/>
        </w:rPr>
        <w:t xml:space="preserve"> (</w:t>
      </w:r>
      <w:r w:rsidR="00683B04">
        <w:rPr>
          <w:rFonts w:ascii="Arial" w:hAnsi="Arial"/>
          <w:szCs w:val="20"/>
        </w:rPr>
        <w:t>£1.</w:t>
      </w:r>
      <w:r w:rsidR="00CC5EAD">
        <w:rPr>
          <w:rFonts w:ascii="Arial" w:hAnsi="Arial"/>
          <w:szCs w:val="20"/>
        </w:rPr>
        <w:t>521</w:t>
      </w:r>
      <w:r w:rsidR="00683B04">
        <w:rPr>
          <w:rFonts w:ascii="Arial" w:hAnsi="Arial"/>
          <w:szCs w:val="20"/>
        </w:rPr>
        <w:t>m</w:t>
      </w:r>
      <w:r w:rsidR="00141A2C">
        <w:rPr>
          <w:rFonts w:ascii="Arial" w:hAnsi="Arial"/>
          <w:szCs w:val="20"/>
        </w:rPr>
        <w:t xml:space="preserve"> in 201</w:t>
      </w:r>
      <w:r w:rsidR="00CC5EAD">
        <w:rPr>
          <w:rFonts w:ascii="Arial" w:hAnsi="Arial"/>
          <w:szCs w:val="20"/>
        </w:rPr>
        <w:t>6/17</w:t>
      </w:r>
      <w:r w:rsidR="00284411">
        <w:rPr>
          <w:rFonts w:ascii="Arial" w:hAnsi="Arial"/>
          <w:szCs w:val="20"/>
        </w:rPr>
        <w:t>)</w:t>
      </w:r>
      <w:r w:rsidR="00683B04">
        <w:rPr>
          <w:rFonts w:ascii="Arial" w:hAnsi="Arial"/>
          <w:szCs w:val="20"/>
        </w:rPr>
        <w:t xml:space="preserve"> for Primary and Secondary schools respectively. </w:t>
      </w:r>
    </w:p>
    <w:p w:rsidR="00683B04" w:rsidRDefault="00683B04" w:rsidP="00683B04">
      <w:pPr>
        <w:pStyle w:val="ListParagraph"/>
        <w:rPr>
          <w:rFonts w:ascii="Arial" w:hAnsi="Arial"/>
          <w:szCs w:val="20"/>
        </w:rPr>
      </w:pPr>
    </w:p>
    <w:p w:rsidR="00440F42" w:rsidRDefault="00394795" w:rsidP="00440F42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 w:rsidRPr="00CC5EAD">
        <w:rPr>
          <w:rFonts w:ascii="Arial" w:hAnsi="Arial"/>
          <w:szCs w:val="20"/>
        </w:rPr>
        <w:t xml:space="preserve">The Income </w:t>
      </w:r>
      <w:r w:rsidR="00CC3C47" w:rsidRPr="00CC5EAD">
        <w:rPr>
          <w:rFonts w:ascii="Arial" w:hAnsi="Arial"/>
          <w:szCs w:val="20"/>
        </w:rPr>
        <w:t>Deprivation</w:t>
      </w:r>
      <w:r w:rsidRPr="00CC5EAD">
        <w:rPr>
          <w:rFonts w:ascii="Arial" w:hAnsi="Arial"/>
          <w:szCs w:val="20"/>
        </w:rPr>
        <w:t xml:space="preserve"> Affecting Children Index (IDACI) is a subset </w:t>
      </w:r>
      <w:r w:rsidR="00CC3C47" w:rsidRPr="00CC5EAD">
        <w:rPr>
          <w:rFonts w:ascii="Arial" w:hAnsi="Arial"/>
          <w:szCs w:val="20"/>
        </w:rPr>
        <w:t>of the Indices of Multiple Depri</w:t>
      </w:r>
      <w:r w:rsidRPr="00CC5EAD">
        <w:rPr>
          <w:rFonts w:ascii="Arial" w:hAnsi="Arial"/>
          <w:szCs w:val="20"/>
        </w:rPr>
        <w:t xml:space="preserve">vation (IMD). </w:t>
      </w:r>
      <w:r w:rsidR="00411C33" w:rsidRPr="00CC5EAD">
        <w:rPr>
          <w:rFonts w:ascii="Arial" w:hAnsi="Arial"/>
          <w:szCs w:val="20"/>
        </w:rPr>
        <w:t>It is an a</w:t>
      </w:r>
      <w:r w:rsidR="000159C0" w:rsidRPr="00CC5EAD">
        <w:rPr>
          <w:rFonts w:ascii="Arial" w:hAnsi="Arial"/>
          <w:szCs w:val="20"/>
        </w:rPr>
        <w:t>rea-</w:t>
      </w:r>
      <w:r w:rsidR="00411C33" w:rsidRPr="00CC5EAD">
        <w:rPr>
          <w:rFonts w:ascii="Arial" w:hAnsi="Arial"/>
          <w:szCs w:val="20"/>
        </w:rPr>
        <w:t>based measure</w:t>
      </w:r>
      <w:r w:rsidR="000159C0" w:rsidRPr="00CC5EAD">
        <w:rPr>
          <w:rFonts w:ascii="Arial" w:hAnsi="Arial"/>
          <w:szCs w:val="20"/>
        </w:rPr>
        <w:t xml:space="preserve"> which</w:t>
      </w:r>
      <w:r w:rsidR="00411C33" w:rsidRPr="00CC5EAD">
        <w:rPr>
          <w:rFonts w:ascii="Arial" w:hAnsi="Arial"/>
          <w:szCs w:val="20"/>
        </w:rPr>
        <w:t xml:space="preserve"> </w:t>
      </w:r>
      <w:r w:rsidR="000159C0" w:rsidRPr="00CC5EAD">
        <w:rPr>
          <w:rFonts w:ascii="Arial" w:hAnsi="Arial"/>
          <w:szCs w:val="20"/>
        </w:rPr>
        <w:t xml:space="preserve">is </w:t>
      </w:r>
      <w:r w:rsidR="00CC3C47" w:rsidRPr="00CC5EAD">
        <w:rPr>
          <w:rFonts w:ascii="Arial" w:hAnsi="Arial"/>
          <w:szCs w:val="20"/>
        </w:rPr>
        <w:t>interpreted</w:t>
      </w:r>
      <w:r w:rsidR="000159C0" w:rsidRPr="00CC5EAD">
        <w:rPr>
          <w:rFonts w:ascii="Arial" w:hAnsi="Arial"/>
          <w:szCs w:val="20"/>
        </w:rPr>
        <w:t xml:space="preserve"> as</w:t>
      </w:r>
      <w:r w:rsidR="00411C33" w:rsidRPr="00CC5EAD">
        <w:rPr>
          <w:rFonts w:ascii="Arial" w:hAnsi="Arial"/>
          <w:szCs w:val="20"/>
        </w:rPr>
        <w:t xml:space="preserve"> the proportion of families</w:t>
      </w:r>
      <w:r w:rsidR="00CC3C47" w:rsidRPr="00CC5EAD">
        <w:rPr>
          <w:rFonts w:ascii="Arial" w:hAnsi="Arial"/>
          <w:szCs w:val="20"/>
        </w:rPr>
        <w:t xml:space="preserve"> with children under 16 which is</w:t>
      </w:r>
      <w:r w:rsidR="00411C33" w:rsidRPr="00CC5EAD">
        <w:rPr>
          <w:rFonts w:ascii="Arial" w:hAnsi="Arial"/>
          <w:szCs w:val="20"/>
        </w:rPr>
        <w:t xml:space="preserve"> income deprived. </w:t>
      </w:r>
    </w:p>
    <w:p w:rsidR="00CC5EAD" w:rsidRPr="00CC5EAD" w:rsidRDefault="00CC5EAD" w:rsidP="00CC5EAD">
      <w:pPr>
        <w:rPr>
          <w:rFonts w:ascii="Arial" w:hAnsi="Arial"/>
          <w:szCs w:val="20"/>
        </w:rPr>
      </w:pPr>
    </w:p>
    <w:p w:rsidR="004220DA" w:rsidRDefault="000159C0" w:rsidP="009D2B65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We </w:t>
      </w:r>
      <w:r w:rsidR="00CC3C47">
        <w:rPr>
          <w:rFonts w:ascii="Arial" w:hAnsi="Arial"/>
          <w:szCs w:val="20"/>
        </w:rPr>
        <w:t>have</w:t>
      </w:r>
      <w:r w:rsidR="009D2B65">
        <w:rPr>
          <w:rFonts w:ascii="Arial" w:hAnsi="Arial"/>
          <w:szCs w:val="20"/>
        </w:rPr>
        <w:t xml:space="preserve"> kept the IDACI </w:t>
      </w:r>
      <w:r>
        <w:rPr>
          <w:rFonts w:ascii="Arial" w:hAnsi="Arial"/>
          <w:szCs w:val="20"/>
        </w:rPr>
        <w:t xml:space="preserve">unit values </w:t>
      </w:r>
      <w:r w:rsidR="009D2B65">
        <w:rPr>
          <w:rFonts w:ascii="Arial" w:hAnsi="Arial"/>
          <w:szCs w:val="20"/>
        </w:rPr>
        <w:t xml:space="preserve">the same as </w:t>
      </w:r>
      <w:r>
        <w:rPr>
          <w:rFonts w:ascii="Arial" w:hAnsi="Arial"/>
          <w:szCs w:val="20"/>
        </w:rPr>
        <w:t>2016/17</w:t>
      </w:r>
      <w:r w:rsidR="00026579">
        <w:rPr>
          <w:rFonts w:ascii="Arial" w:hAnsi="Arial"/>
          <w:szCs w:val="20"/>
        </w:rPr>
        <w:t xml:space="preserve">. </w:t>
      </w:r>
      <w:r w:rsidR="00781FA0">
        <w:rPr>
          <w:rFonts w:ascii="Arial" w:hAnsi="Arial"/>
          <w:szCs w:val="20"/>
        </w:rPr>
        <w:t>Through the formula this resulted in a to</w:t>
      </w:r>
      <w:r w:rsidR="00CC3C47">
        <w:rPr>
          <w:rFonts w:ascii="Arial" w:hAnsi="Arial"/>
          <w:szCs w:val="20"/>
        </w:rPr>
        <w:t>tal budget</w:t>
      </w:r>
      <w:r w:rsidR="009D2B65">
        <w:rPr>
          <w:rFonts w:ascii="Arial" w:hAnsi="Arial"/>
          <w:szCs w:val="20"/>
        </w:rPr>
        <w:t xml:space="preserve"> allocation of £452</w:t>
      </w:r>
      <w:r w:rsidR="00440F42">
        <w:rPr>
          <w:rFonts w:ascii="Arial" w:hAnsi="Arial"/>
          <w:szCs w:val="20"/>
        </w:rPr>
        <w:t>k</w:t>
      </w:r>
      <w:r w:rsidR="00781FA0">
        <w:rPr>
          <w:rFonts w:ascii="Arial" w:hAnsi="Arial"/>
          <w:szCs w:val="20"/>
        </w:rPr>
        <w:t xml:space="preserve"> (£</w:t>
      </w:r>
      <w:r w:rsidR="009D2B65">
        <w:rPr>
          <w:rFonts w:ascii="Arial" w:hAnsi="Arial"/>
          <w:szCs w:val="20"/>
        </w:rPr>
        <w:t>41</w:t>
      </w:r>
      <w:r w:rsidR="00440F42">
        <w:rPr>
          <w:rFonts w:ascii="Arial" w:hAnsi="Arial"/>
          <w:szCs w:val="20"/>
        </w:rPr>
        <w:t>7k</w:t>
      </w:r>
      <w:r w:rsidR="009D2B65">
        <w:rPr>
          <w:rFonts w:ascii="Arial" w:hAnsi="Arial"/>
          <w:szCs w:val="20"/>
        </w:rPr>
        <w:t xml:space="preserve"> in 2016/17</w:t>
      </w:r>
      <w:r w:rsidR="00781FA0">
        <w:rPr>
          <w:rFonts w:ascii="Arial" w:hAnsi="Arial"/>
          <w:szCs w:val="20"/>
        </w:rPr>
        <w:t>) and £</w:t>
      </w:r>
      <w:r w:rsidR="009D2B65">
        <w:rPr>
          <w:rFonts w:ascii="Arial" w:hAnsi="Arial"/>
          <w:szCs w:val="20"/>
        </w:rPr>
        <w:t>248</w:t>
      </w:r>
      <w:r w:rsidR="00440F42">
        <w:rPr>
          <w:rFonts w:ascii="Arial" w:hAnsi="Arial"/>
          <w:szCs w:val="20"/>
        </w:rPr>
        <w:t>k</w:t>
      </w:r>
      <w:r w:rsidR="00781FA0">
        <w:rPr>
          <w:rFonts w:ascii="Arial" w:hAnsi="Arial"/>
          <w:szCs w:val="20"/>
        </w:rPr>
        <w:t xml:space="preserve"> (£</w:t>
      </w:r>
      <w:r w:rsidR="009D2B65">
        <w:rPr>
          <w:rFonts w:ascii="Arial" w:hAnsi="Arial"/>
          <w:szCs w:val="20"/>
        </w:rPr>
        <w:t>22</w:t>
      </w:r>
      <w:r w:rsidR="00440F42">
        <w:rPr>
          <w:rFonts w:ascii="Arial" w:hAnsi="Arial"/>
          <w:szCs w:val="20"/>
        </w:rPr>
        <w:t>7k</w:t>
      </w:r>
      <w:r w:rsidR="009D2B65">
        <w:rPr>
          <w:rFonts w:ascii="Arial" w:hAnsi="Arial"/>
          <w:szCs w:val="20"/>
        </w:rPr>
        <w:t xml:space="preserve"> in 2016/17</w:t>
      </w:r>
      <w:r w:rsidR="00781FA0">
        <w:rPr>
          <w:rFonts w:ascii="Arial" w:hAnsi="Arial"/>
          <w:szCs w:val="20"/>
        </w:rPr>
        <w:t xml:space="preserve">) for Primary and Secondary schools </w:t>
      </w:r>
      <w:r w:rsidR="00745110">
        <w:rPr>
          <w:rFonts w:ascii="Arial" w:hAnsi="Arial"/>
          <w:szCs w:val="20"/>
        </w:rPr>
        <w:t xml:space="preserve">respectively. </w:t>
      </w:r>
    </w:p>
    <w:p w:rsidR="009D2B65" w:rsidRDefault="009D2B65" w:rsidP="009D2B65">
      <w:pPr>
        <w:rPr>
          <w:rFonts w:ascii="Arial" w:hAnsi="Arial"/>
          <w:szCs w:val="20"/>
        </w:rPr>
      </w:pPr>
    </w:p>
    <w:p w:rsidR="00440F42" w:rsidRPr="009D2B65" w:rsidRDefault="00DA280F" w:rsidP="009D2B65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unit value for </w:t>
      </w:r>
      <w:r w:rsidR="00D20AC0">
        <w:rPr>
          <w:rFonts w:ascii="Arial" w:hAnsi="Arial"/>
          <w:szCs w:val="20"/>
        </w:rPr>
        <w:t>L</w:t>
      </w:r>
      <w:r>
        <w:rPr>
          <w:rFonts w:ascii="Arial" w:hAnsi="Arial"/>
          <w:szCs w:val="20"/>
        </w:rPr>
        <w:t xml:space="preserve">ooked </w:t>
      </w:r>
      <w:r w:rsidR="00D20AC0">
        <w:rPr>
          <w:rFonts w:ascii="Arial" w:hAnsi="Arial"/>
          <w:szCs w:val="20"/>
        </w:rPr>
        <w:t>A</w:t>
      </w:r>
      <w:r>
        <w:rPr>
          <w:rFonts w:ascii="Arial" w:hAnsi="Arial"/>
          <w:szCs w:val="20"/>
        </w:rPr>
        <w:t xml:space="preserve">fter </w:t>
      </w:r>
      <w:r w:rsidR="00D20AC0">
        <w:rPr>
          <w:rFonts w:ascii="Arial" w:hAnsi="Arial"/>
          <w:szCs w:val="20"/>
        </w:rPr>
        <w:t>C</w:t>
      </w:r>
      <w:r w:rsidR="00E227A1">
        <w:rPr>
          <w:rFonts w:ascii="Arial" w:hAnsi="Arial"/>
          <w:szCs w:val="20"/>
        </w:rPr>
        <w:t xml:space="preserve">hildren </w:t>
      </w:r>
      <w:r>
        <w:rPr>
          <w:rFonts w:ascii="Arial" w:hAnsi="Arial"/>
          <w:szCs w:val="20"/>
        </w:rPr>
        <w:t xml:space="preserve">(LAC) </w:t>
      </w:r>
      <w:r w:rsidR="00CC3C47">
        <w:rPr>
          <w:rFonts w:ascii="Arial" w:hAnsi="Arial"/>
          <w:szCs w:val="20"/>
        </w:rPr>
        <w:t>has been</w:t>
      </w:r>
      <w:r w:rsidR="00E227A1">
        <w:rPr>
          <w:rFonts w:ascii="Arial" w:hAnsi="Arial"/>
          <w:szCs w:val="20"/>
        </w:rPr>
        <w:t xml:space="preserve"> kept the same as in 201</w:t>
      </w:r>
      <w:r w:rsidR="007B2203">
        <w:rPr>
          <w:rFonts w:ascii="Arial" w:hAnsi="Arial"/>
          <w:szCs w:val="20"/>
        </w:rPr>
        <w:t>6</w:t>
      </w:r>
      <w:r w:rsidR="00E227A1">
        <w:rPr>
          <w:rFonts w:ascii="Arial" w:hAnsi="Arial"/>
          <w:szCs w:val="20"/>
        </w:rPr>
        <w:t>/1</w:t>
      </w:r>
      <w:r w:rsidR="007B2203">
        <w:rPr>
          <w:rFonts w:ascii="Arial" w:hAnsi="Arial"/>
          <w:szCs w:val="20"/>
        </w:rPr>
        <w:t>7</w:t>
      </w:r>
      <w:r w:rsidR="00E227A1">
        <w:rPr>
          <w:rFonts w:ascii="Arial" w:hAnsi="Arial"/>
          <w:szCs w:val="20"/>
        </w:rPr>
        <w:t xml:space="preserve"> </w:t>
      </w:r>
      <w:r w:rsidR="004220DA">
        <w:rPr>
          <w:rFonts w:ascii="Arial" w:hAnsi="Arial"/>
          <w:szCs w:val="20"/>
        </w:rPr>
        <w:t>at £1,000</w:t>
      </w:r>
      <w:r w:rsidR="00E227A1">
        <w:rPr>
          <w:rFonts w:ascii="Arial" w:hAnsi="Arial"/>
          <w:szCs w:val="20"/>
        </w:rPr>
        <w:t>.</w:t>
      </w:r>
      <w:r w:rsidR="00440F42">
        <w:rPr>
          <w:rFonts w:ascii="Arial" w:hAnsi="Arial"/>
          <w:szCs w:val="20"/>
        </w:rPr>
        <w:t xml:space="preserve"> The total allocati</w:t>
      </w:r>
      <w:r w:rsidR="007B2203">
        <w:rPr>
          <w:rFonts w:ascii="Arial" w:hAnsi="Arial"/>
          <w:szCs w:val="20"/>
        </w:rPr>
        <w:t>on through this formula for 2017/18 is £63k (£72k in 2016/17</w:t>
      </w:r>
      <w:r w:rsidR="00440F42">
        <w:rPr>
          <w:rFonts w:ascii="Arial" w:hAnsi="Arial"/>
          <w:szCs w:val="20"/>
        </w:rPr>
        <w:t>)</w:t>
      </w:r>
      <w:r w:rsidR="009D2B65">
        <w:rPr>
          <w:rFonts w:ascii="Arial" w:hAnsi="Arial"/>
          <w:szCs w:val="20"/>
        </w:rPr>
        <w:t>.</w:t>
      </w:r>
    </w:p>
    <w:p w:rsidR="00E227A1" w:rsidRDefault="00E227A1" w:rsidP="00E227A1">
      <w:pPr>
        <w:pStyle w:val="ListParagraph"/>
        <w:rPr>
          <w:rFonts w:ascii="Arial" w:hAnsi="Arial"/>
          <w:szCs w:val="20"/>
        </w:rPr>
      </w:pPr>
    </w:p>
    <w:p w:rsidR="0092072A" w:rsidRDefault="00E227A1" w:rsidP="0092072A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 w:rsidRPr="00A06DE6">
        <w:rPr>
          <w:rFonts w:ascii="Arial" w:hAnsi="Arial"/>
          <w:szCs w:val="20"/>
        </w:rPr>
        <w:t xml:space="preserve">The English as an Additional Language </w:t>
      </w:r>
      <w:r w:rsidR="00D20AC0" w:rsidRPr="00A06DE6">
        <w:rPr>
          <w:rFonts w:ascii="Arial" w:hAnsi="Arial"/>
          <w:szCs w:val="20"/>
        </w:rPr>
        <w:t xml:space="preserve">(EAL) </w:t>
      </w:r>
      <w:r w:rsidRPr="00A06DE6">
        <w:rPr>
          <w:rFonts w:ascii="Arial" w:hAnsi="Arial"/>
          <w:szCs w:val="20"/>
        </w:rPr>
        <w:t xml:space="preserve">factor </w:t>
      </w:r>
      <w:r w:rsidR="00A06DE6" w:rsidRPr="00A06DE6">
        <w:rPr>
          <w:rFonts w:ascii="Arial" w:hAnsi="Arial"/>
          <w:szCs w:val="20"/>
        </w:rPr>
        <w:t>unit values</w:t>
      </w:r>
      <w:r w:rsidRPr="00A06DE6">
        <w:rPr>
          <w:rFonts w:ascii="Arial" w:hAnsi="Arial"/>
          <w:szCs w:val="20"/>
        </w:rPr>
        <w:t xml:space="preserve"> were kept the </w:t>
      </w:r>
      <w:r w:rsidR="0092072A" w:rsidRPr="00A06DE6">
        <w:rPr>
          <w:rFonts w:ascii="Arial" w:hAnsi="Arial"/>
          <w:szCs w:val="20"/>
        </w:rPr>
        <w:t xml:space="preserve">same as the previous year at </w:t>
      </w:r>
      <w:r w:rsidR="00440F42">
        <w:rPr>
          <w:rFonts w:ascii="Arial" w:hAnsi="Arial"/>
          <w:szCs w:val="20"/>
        </w:rPr>
        <w:t>£376.5 and £906.6</w:t>
      </w:r>
      <w:r w:rsidR="00A06DE6" w:rsidRPr="00A06DE6">
        <w:rPr>
          <w:rFonts w:ascii="Arial" w:hAnsi="Arial"/>
          <w:szCs w:val="20"/>
        </w:rPr>
        <w:t xml:space="preserve"> </w:t>
      </w:r>
      <w:r w:rsidRPr="00A06DE6">
        <w:rPr>
          <w:rFonts w:ascii="Arial" w:hAnsi="Arial"/>
          <w:szCs w:val="20"/>
        </w:rPr>
        <w:t>for Primary and Secondary schools respectively.</w:t>
      </w:r>
      <w:r w:rsidR="00440F42">
        <w:rPr>
          <w:rFonts w:ascii="Arial" w:hAnsi="Arial"/>
          <w:szCs w:val="20"/>
        </w:rPr>
        <w:t xml:space="preserve"> This resulted in a t</w:t>
      </w:r>
      <w:r w:rsidR="007B2203">
        <w:rPr>
          <w:rFonts w:ascii="Arial" w:hAnsi="Arial"/>
          <w:szCs w:val="20"/>
        </w:rPr>
        <w:t>otal budget allocation of £1.774</w:t>
      </w:r>
      <w:r w:rsidR="00440F42">
        <w:rPr>
          <w:rFonts w:ascii="Arial" w:hAnsi="Arial"/>
          <w:szCs w:val="20"/>
        </w:rPr>
        <w:t>m (£</w:t>
      </w:r>
      <w:r w:rsidR="007B2203">
        <w:rPr>
          <w:rFonts w:ascii="Arial" w:hAnsi="Arial"/>
          <w:szCs w:val="20"/>
        </w:rPr>
        <w:t>1.758</w:t>
      </w:r>
      <w:r w:rsidR="00E97EA5">
        <w:rPr>
          <w:rFonts w:ascii="Arial" w:hAnsi="Arial"/>
          <w:szCs w:val="20"/>
        </w:rPr>
        <w:t>m</w:t>
      </w:r>
      <w:r w:rsidR="007B2203">
        <w:rPr>
          <w:rFonts w:ascii="Arial" w:hAnsi="Arial"/>
          <w:szCs w:val="20"/>
        </w:rPr>
        <w:t xml:space="preserve"> in 2016/17) and £477</w:t>
      </w:r>
      <w:r w:rsidR="00440F42">
        <w:rPr>
          <w:rFonts w:ascii="Arial" w:hAnsi="Arial"/>
          <w:szCs w:val="20"/>
        </w:rPr>
        <w:t>k (£</w:t>
      </w:r>
      <w:r w:rsidR="007B2203">
        <w:rPr>
          <w:rFonts w:ascii="Arial" w:hAnsi="Arial"/>
          <w:szCs w:val="20"/>
        </w:rPr>
        <w:t>454k in 2016/17</w:t>
      </w:r>
      <w:r w:rsidR="00440F42">
        <w:rPr>
          <w:rFonts w:ascii="Arial" w:hAnsi="Arial"/>
          <w:szCs w:val="20"/>
        </w:rPr>
        <w:t>) for Primary and Secondary schools respectively.</w:t>
      </w:r>
    </w:p>
    <w:p w:rsidR="00440F42" w:rsidRDefault="00440F42" w:rsidP="00440F42">
      <w:pPr>
        <w:pStyle w:val="ListParagraph"/>
        <w:rPr>
          <w:rFonts w:ascii="Arial" w:hAnsi="Arial"/>
          <w:szCs w:val="20"/>
        </w:rPr>
      </w:pPr>
    </w:p>
    <w:p w:rsidR="00440F42" w:rsidRDefault="00E97EA5" w:rsidP="0092072A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Due to the change in the Primary school prior attainment factor, </w:t>
      </w:r>
      <w:r w:rsidR="00FE3D1A">
        <w:rPr>
          <w:rFonts w:ascii="Arial" w:hAnsi="Arial"/>
          <w:szCs w:val="20"/>
        </w:rPr>
        <w:t xml:space="preserve">the total budget and unit cost for this factor </w:t>
      </w:r>
      <w:r w:rsidR="00CC3C47">
        <w:rPr>
          <w:rFonts w:ascii="Arial" w:hAnsi="Arial"/>
          <w:szCs w:val="20"/>
        </w:rPr>
        <w:t>are</w:t>
      </w:r>
      <w:r w:rsidR="00FE3D1A">
        <w:rPr>
          <w:rFonts w:ascii="Arial" w:hAnsi="Arial"/>
          <w:szCs w:val="20"/>
        </w:rPr>
        <w:t xml:space="preserve"> adjusted annually. T</w:t>
      </w:r>
      <w:r w:rsidR="00440F42">
        <w:rPr>
          <w:rFonts w:ascii="Arial" w:hAnsi="Arial"/>
          <w:szCs w:val="20"/>
        </w:rPr>
        <w:t xml:space="preserve">he overall </w:t>
      </w:r>
      <w:r w:rsidR="00FE3D1A">
        <w:rPr>
          <w:rFonts w:ascii="Arial" w:hAnsi="Arial"/>
          <w:szCs w:val="20"/>
        </w:rPr>
        <w:t xml:space="preserve">Primary school </w:t>
      </w:r>
      <w:r w:rsidR="00440F42">
        <w:rPr>
          <w:rFonts w:ascii="Arial" w:hAnsi="Arial"/>
          <w:szCs w:val="20"/>
        </w:rPr>
        <w:t>budget for th</w:t>
      </w:r>
      <w:r>
        <w:rPr>
          <w:rFonts w:ascii="Arial" w:hAnsi="Arial"/>
          <w:szCs w:val="20"/>
        </w:rPr>
        <w:t xml:space="preserve">is factor, which </w:t>
      </w:r>
      <w:r w:rsidR="00440F42">
        <w:rPr>
          <w:rFonts w:ascii="Arial" w:hAnsi="Arial"/>
          <w:szCs w:val="20"/>
        </w:rPr>
        <w:t>support</w:t>
      </w:r>
      <w:r w:rsidR="00CC3C47">
        <w:rPr>
          <w:rFonts w:ascii="Arial" w:hAnsi="Arial"/>
          <w:szCs w:val="20"/>
        </w:rPr>
        <w:t>s</w:t>
      </w:r>
      <w:r w:rsidR="00440F42">
        <w:rPr>
          <w:rFonts w:ascii="Arial" w:hAnsi="Arial"/>
          <w:szCs w:val="20"/>
        </w:rPr>
        <w:t xml:space="preserve"> Low Cost, High Incidence SEN students</w:t>
      </w:r>
      <w:r>
        <w:rPr>
          <w:rFonts w:ascii="Arial" w:hAnsi="Arial"/>
          <w:szCs w:val="20"/>
        </w:rPr>
        <w:t>,</w:t>
      </w:r>
      <w:r w:rsidR="00440F42">
        <w:rPr>
          <w:rFonts w:ascii="Arial" w:hAnsi="Arial"/>
          <w:szCs w:val="20"/>
        </w:rPr>
        <w:t xml:space="preserve"> was </w:t>
      </w:r>
      <w:r w:rsidR="007B2203">
        <w:rPr>
          <w:rFonts w:ascii="Arial" w:hAnsi="Arial"/>
          <w:szCs w:val="20"/>
        </w:rPr>
        <w:t xml:space="preserve">maintained at </w:t>
      </w:r>
      <w:r w:rsidR="00FE3D1A">
        <w:rPr>
          <w:rFonts w:ascii="Arial" w:hAnsi="Arial"/>
          <w:szCs w:val="20"/>
        </w:rPr>
        <w:t xml:space="preserve">£3.862m </w:t>
      </w:r>
      <w:r w:rsidR="004873E5">
        <w:rPr>
          <w:rFonts w:ascii="Arial" w:hAnsi="Arial"/>
          <w:szCs w:val="20"/>
        </w:rPr>
        <w:t>as there was only a slight reduction</w:t>
      </w:r>
      <w:r w:rsidR="007B2203">
        <w:rPr>
          <w:rFonts w:ascii="Arial" w:hAnsi="Arial"/>
          <w:szCs w:val="20"/>
        </w:rPr>
        <w:t xml:space="preserve"> in </w:t>
      </w:r>
      <w:r w:rsidR="00FE3D1A">
        <w:rPr>
          <w:rFonts w:ascii="Arial" w:hAnsi="Arial"/>
          <w:szCs w:val="20"/>
        </w:rPr>
        <w:t>student numbers</w:t>
      </w:r>
      <w:r w:rsidR="004873E5">
        <w:rPr>
          <w:rFonts w:ascii="Arial" w:hAnsi="Arial"/>
          <w:szCs w:val="20"/>
        </w:rPr>
        <w:t xml:space="preserve"> from last year</w:t>
      </w:r>
      <w:r w:rsidR="00FE3D1A">
        <w:rPr>
          <w:rFonts w:ascii="Arial" w:hAnsi="Arial"/>
          <w:szCs w:val="20"/>
        </w:rPr>
        <w:t>. The total budget for Secondary</w:t>
      </w:r>
      <w:r w:rsidR="00440F42">
        <w:rPr>
          <w:rFonts w:ascii="Arial" w:hAnsi="Arial"/>
          <w:szCs w:val="20"/>
        </w:rPr>
        <w:t xml:space="preserve"> schools</w:t>
      </w:r>
      <w:r w:rsidR="0015553C">
        <w:rPr>
          <w:rFonts w:ascii="Arial" w:hAnsi="Arial"/>
          <w:szCs w:val="20"/>
        </w:rPr>
        <w:t xml:space="preserve"> for 2016/17 is £2.927m (£2</w:t>
      </w:r>
      <w:r w:rsidR="00FE3D1A">
        <w:rPr>
          <w:rFonts w:ascii="Arial" w:hAnsi="Arial"/>
          <w:szCs w:val="20"/>
        </w:rPr>
        <w:t>.</w:t>
      </w:r>
      <w:r w:rsidR="0015553C">
        <w:rPr>
          <w:rFonts w:ascii="Arial" w:hAnsi="Arial"/>
          <w:szCs w:val="20"/>
        </w:rPr>
        <w:t>919</w:t>
      </w:r>
      <w:r w:rsidR="00FE3D1A">
        <w:rPr>
          <w:rFonts w:ascii="Arial" w:hAnsi="Arial"/>
          <w:szCs w:val="20"/>
        </w:rPr>
        <w:t>m for 201</w:t>
      </w:r>
      <w:r w:rsidR="0015553C">
        <w:rPr>
          <w:rFonts w:ascii="Arial" w:hAnsi="Arial"/>
          <w:szCs w:val="20"/>
        </w:rPr>
        <w:t>6/17</w:t>
      </w:r>
      <w:r w:rsidR="00FE3D1A">
        <w:rPr>
          <w:rFonts w:ascii="Arial" w:hAnsi="Arial"/>
          <w:szCs w:val="20"/>
        </w:rPr>
        <w:t>)</w:t>
      </w:r>
      <w:r w:rsidR="00440F42">
        <w:rPr>
          <w:rFonts w:ascii="Arial" w:hAnsi="Arial"/>
          <w:szCs w:val="20"/>
        </w:rPr>
        <w:t xml:space="preserve">. </w:t>
      </w:r>
      <w:r w:rsidR="00FE3D1A">
        <w:rPr>
          <w:rFonts w:ascii="Arial" w:hAnsi="Arial"/>
          <w:szCs w:val="20"/>
        </w:rPr>
        <w:t>T</w:t>
      </w:r>
      <w:r w:rsidR="00440F42">
        <w:rPr>
          <w:rFonts w:ascii="Arial" w:hAnsi="Arial"/>
          <w:szCs w:val="20"/>
        </w:rPr>
        <w:t>his resulted in unit values of £</w:t>
      </w:r>
      <w:r w:rsidR="0015553C">
        <w:rPr>
          <w:rFonts w:ascii="Arial" w:hAnsi="Arial"/>
          <w:szCs w:val="20"/>
        </w:rPr>
        <w:t>759.27 (£840.98</w:t>
      </w:r>
      <w:r w:rsidR="00440F42">
        <w:rPr>
          <w:rFonts w:ascii="Arial" w:hAnsi="Arial"/>
          <w:szCs w:val="20"/>
        </w:rPr>
        <w:t xml:space="preserve"> in 201</w:t>
      </w:r>
      <w:r w:rsidR="0015553C">
        <w:rPr>
          <w:rFonts w:ascii="Arial" w:hAnsi="Arial"/>
          <w:szCs w:val="20"/>
        </w:rPr>
        <w:t>6/17</w:t>
      </w:r>
      <w:r w:rsidR="00FE3D1A">
        <w:rPr>
          <w:rFonts w:ascii="Arial" w:hAnsi="Arial"/>
          <w:szCs w:val="20"/>
        </w:rPr>
        <w:t>)</w:t>
      </w:r>
      <w:r w:rsidR="00FE3D1A" w:rsidRPr="00FE3D1A">
        <w:rPr>
          <w:rFonts w:ascii="Arial" w:hAnsi="Arial"/>
          <w:szCs w:val="20"/>
        </w:rPr>
        <w:t xml:space="preserve"> </w:t>
      </w:r>
      <w:r w:rsidR="00FE3D1A">
        <w:rPr>
          <w:rFonts w:ascii="Arial" w:hAnsi="Arial"/>
          <w:szCs w:val="20"/>
        </w:rPr>
        <w:t xml:space="preserve">and £1,627.69 </w:t>
      </w:r>
      <w:r w:rsidR="00395565">
        <w:rPr>
          <w:rFonts w:ascii="Arial" w:hAnsi="Arial"/>
          <w:szCs w:val="20"/>
        </w:rPr>
        <w:t xml:space="preserve">(the same as in </w:t>
      </w:r>
      <w:r w:rsidR="00FE3D1A">
        <w:rPr>
          <w:rFonts w:ascii="Arial" w:hAnsi="Arial"/>
          <w:szCs w:val="20"/>
        </w:rPr>
        <w:t>201</w:t>
      </w:r>
      <w:r w:rsidR="0015553C">
        <w:rPr>
          <w:rFonts w:ascii="Arial" w:hAnsi="Arial"/>
          <w:szCs w:val="20"/>
        </w:rPr>
        <w:t>6/17</w:t>
      </w:r>
      <w:r w:rsidR="00FE3D1A">
        <w:rPr>
          <w:rFonts w:ascii="Arial" w:hAnsi="Arial"/>
          <w:szCs w:val="20"/>
        </w:rPr>
        <w:t>) for Primary and Secondary schools respectively</w:t>
      </w:r>
      <w:r w:rsidR="00CC3C47">
        <w:rPr>
          <w:rFonts w:ascii="Arial" w:hAnsi="Arial"/>
          <w:szCs w:val="20"/>
        </w:rPr>
        <w:t>.</w:t>
      </w:r>
    </w:p>
    <w:p w:rsidR="00A06DE6" w:rsidRPr="00A06DE6" w:rsidRDefault="00A06DE6" w:rsidP="00A06DE6">
      <w:pPr>
        <w:rPr>
          <w:rFonts w:ascii="Arial" w:hAnsi="Arial"/>
          <w:szCs w:val="20"/>
        </w:rPr>
      </w:pPr>
    </w:p>
    <w:p w:rsidR="0092072A" w:rsidRDefault="0092072A" w:rsidP="00E227A1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lump sum </w:t>
      </w:r>
      <w:r w:rsidR="00395565">
        <w:rPr>
          <w:rFonts w:ascii="Arial" w:hAnsi="Arial"/>
          <w:szCs w:val="20"/>
        </w:rPr>
        <w:t xml:space="preserve">factor was </w:t>
      </w:r>
      <w:r>
        <w:rPr>
          <w:rFonts w:ascii="Arial" w:hAnsi="Arial"/>
          <w:szCs w:val="20"/>
        </w:rPr>
        <w:t>kept the same as in 201</w:t>
      </w:r>
      <w:r w:rsidR="0015553C">
        <w:rPr>
          <w:rFonts w:ascii="Arial" w:hAnsi="Arial"/>
          <w:szCs w:val="20"/>
        </w:rPr>
        <w:t>6</w:t>
      </w:r>
      <w:r>
        <w:rPr>
          <w:rFonts w:ascii="Arial" w:hAnsi="Arial"/>
          <w:szCs w:val="20"/>
        </w:rPr>
        <w:t>/1</w:t>
      </w:r>
      <w:r w:rsidR="0015553C">
        <w:rPr>
          <w:rFonts w:ascii="Arial" w:hAnsi="Arial"/>
          <w:szCs w:val="20"/>
        </w:rPr>
        <w:t>7</w:t>
      </w:r>
      <w:r w:rsidR="00A06DE6">
        <w:rPr>
          <w:rFonts w:ascii="Arial" w:hAnsi="Arial"/>
          <w:szCs w:val="20"/>
        </w:rPr>
        <w:t xml:space="preserve"> at £150k</w:t>
      </w:r>
      <w:r>
        <w:rPr>
          <w:rFonts w:ascii="Arial" w:hAnsi="Arial"/>
          <w:szCs w:val="20"/>
        </w:rPr>
        <w:t xml:space="preserve"> </w:t>
      </w:r>
      <w:r w:rsidR="00395565">
        <w:rPr>
          <w:rFonts w:ascii="Arial" w:hAnsi="Arial"/>
          <w:szCs w:val="20"/>
        </w:rPr>
        <w:t>a</w:t>
      </w:r>
      <w:r w:rsidR="0015553C">
        <w:rPr>
          <w:rFonts w:ascii="Arial" w:hAnsi="Arial"/>
          <w:szCs w:val="20"/>
        </w:rPr>
        <w:t xml:space="preserve">nd the split site factor was also kept at the 2016/17level of </w:t>
      </w:r>
      <w:r w:rsidR="00395565">
        <w:rPr>
          <w:rFonts w:ascii="Arial" w:hAnsi="Arial"/>
          <w:szCs w:val="20"/>
        </w:rPr>
        <w:t>£72k</w:t>
      </w:r>
      <w:r>
        <w:rPr>
          <w:rFonts w:ascii="Arial" w:hAnsi="Arial"/>
          <w:szCs w:val="20"/>
        </w:rPr>
        <w:t>.</w:t>
      </w:r>
    </w:p>
    <w:p w:rsidR="0092072A" w:rsidRDefault="0092072A" w:rsidP="0092072A">
      <w:pPr>
        <w:pStyle w:val="ListParagraph"/>
        <w:rPr>
          <w:rFonts w:ascii="Arial" w:hAnsi="Arial"/>
          <w:szCs w:val="20"/>
        </w:rPr>
      </w:pPr>
    </w:p>
    <w:p w:rsidR="0092072A" w:rsidRDefault="0092072A" w:rsidP="00E227A1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rates factor was </w:t>
      </w:r>
      <w:r w:rsidR="0015553C">
        <w:rPr>
          <w:rFonts w:ascii="Arial" w:hAnsi="Arial"/>
          <w:szCs w:val="20"/>
        </w:rPr>
        <w:t>decreased by £177</w:t>
      </w:r>
      <w:r>
        <w:rPr>
          <w:rFonts w:ascii="Arial" w:hAnsi="Arial"/>
          <w:szCs w:val="20"/>
        </w:rPr>
        <w:t xml:space="preserve">k to </w:t>
      </w:r>
      <w:r w:rsidR="00395565">
        <w:rPr>
          <w:rFonts w:ascii="Arial" w:hAnsi="Arial"/>
          <w:szCs w:val="20"/>
        </w:rPr>
        <w:t>£1.</w:t>
      </w:r>
      <w:r w:rsidR="0015553C">
        <w:rPr>
          <w:rFonts w:ascii="Arial" w:hAnsi="Arial"/>
          <w:szCs w:val="20"/>
        </w:rPr>
        <w:t>780</w:t>
      </w:r>
      <w:r w:rsidR="00395565">
        <w:rPr>
          <w:rFonts w:ascii="Arial" w:hAnsi="Arial"/>
          <w:szCs w:val="20"/>
        </w:rPr>
        <w:t xml:space="preserve">m </w:t>
      </w:r>
      <w:r w:rsidR="00745110">
        <w:rPr>
          <w:rFonts w:ascii="Arial" w:hAnsi="Arial"/>
          <w:szCs w:val="20"/>
        </w:rPr>
        <w:t>(£</w:t>
      </w:r>
      <w:r w:rsidR="0015553C">
        <w:rPr>
          <w:rFonts w:ascii="Arial" w:hAnsi="Arial"/>
          <w:szCs w:val="20"/>
        </w:rPr>
        <w:t>1.957m in 2016/17</w:t>
      </w:r>
      <w:r w:rsidR="00395565">
        <w:rPr>
          <w:rFonts w:ascii="Arial" w:hAnsi="Arial"/>
          <w:szCs w:val="20"/>
        </w:rPr>
        <w:t xml:space="preserve">) </w:t>
      </w:r>
      <w:r>
        <w:rPr>
          <w:rFonts w:ascii="Arial" w:hAnsi="Arial"/>
          <w:szCs w:val="20"/>
        </w:rPr>
        <w:t>reflect</w:t>
      </w:r>
      <w:r w:rsidR="00395565">
        <w:rPr>
          <w:rFonts w:ascii="Arial" w:hAnsi="Arial"/>
          <w:szCs w:val="20"/>
        </w:rPr>
        <w:t>ing</w:t>
      </w:r>
      <w:r>
        <w:rPr>
          <w:rFonts w:ascii="Arial" w:hAnsi="Arial"/>
          <w:szCs w:val="20"/>
        </w:rPr>
        <w:t xml:space="preserve"> the expected </w:t>
      </w:r>
      <w:r w:rsidR="0015553C">
        <w:rPr>
          <w:rFonts w:ascii="Arial" w:hAnsi="Arial"/>
          <w:szCs w:val="20"/>
        </w:rPr>
        <w:t>cost for 2017</w:t>
      </w:r>
      <w:r w:rsidR="00DA30A9">
        <w:rPr>
          <w:rFonts w:ascii="Arial" w:hAnsi="Arial"/>
          <w:szCs w:val="20"/>
        </w:rPr>
        <w:t>/</w:t>
      </w:r>
      <w:r w:rsidR="0015553C">
        <w:rPr>
          <w:rFonts w:ascii="Arial" w:hAnsi="Arial"/>
          <w:szCs w:val="20"/>
        </w:rPr>
        <w:t>18</w:t>
      </w:r>
      <w:r>
        <w:rPr>
          <w:rFonts w:ascii="Arial" w:hAnsi="Arial"/>
          <w:szCs w:val="20"/>
        </w:rPr>
        <w:t>.</w:t>
      </w:r>
    </w:p>
    <w:p w:rsidR="0092072A" w:rsidRDefault="0092072A" w:rsidP="0092072A">
      <w:pPr>
        <w:pStyle w:val="ListParagraph"/>
        <w:rPr>
          <w:rFonts w:ascii="Arial" w:hAnsi="Arial"/>
          <w:szCs w:val="20"/>
        </w:rPr>
      </w:pPr>
    </w:p>
    <w:p w:rsidR="0092072A" w:rsidRDefault="0092072A" w:rsidP="00E227A1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minimum funding guarantee floor was set at -1.5% by </w:t>
      </w:r>
      <w:r w:rsidR="00165D1D">
        <w:rPr>
          <w:rFonts w:ascii="Arial" w:hAnsi="Arial"/>
          <w:szCs w:val="20"/>
        </w:rPr>
        <w:t>the DfE</w:t>
      </w:r>
      <w:r>
        <w:rPr>
          <w:rFonts w:ascii="Arial" w:hAnsi="Arial"/>
          <w:szCs w:val="20"/>
        </w:rPr>
        <w:t xml:space="preserve">. </w:t>
      </w:r>
      <w:r w:rsidR="004B57D4">
        <w:rPr>
          <w:rFonts w:ascii="Arial" w:hAnsi="Arial"/>
          <w:szCs w:val="20"/>
        </w:rPr>
        <w:t xml:space="preserve">Due to the </w:t>
      </w:r>
      <w:r w:rsidR="00395565">
        <w:rPr>
          <w:rFonts w:ascii="Arial" w:hAnsi="Arial"/>
          <w:szCs w:val="20"/>
        </w:rPr>
        <w:t xml:space="preserve">overall changes in factors, </w:t>
      </w:r>
      <w:r w:rsidR="004B57D4">
        <w:rPr>
          <w:rFonts w:ascii="Arial" w:hAnsi="Arial"/>
          <w:szCs w:val="20"/>
        </w:rPr>
        <w:t xml:space="preserve">the requirement for MFG </w:t>
      </w:r>
      <w:r w:rsidR="0015553C">
        <w:rPr>
          <w:rFonts w:ascii="Arial" w:hAnsi="Arial"/>
          <w:szCs w:val="20"/>
        </w:rPr>
        <w:t>de</w:t>
      </w:r>
      <w:r w:rsidR="00395565">
        <w:rPr>
          <w:rFonts w:ascii="Arial" w:hAnsi="Arial"/>
          <w:szCs w:val="20"/>
        </w:rPr>
        <w:t xml:space="preserve">creased </w:t>
      </w:r>
      <w:r w:rsidR="004B57D4">
        <w:rPr>
          <w:rFonts w:ascii="Arial" w:hAnsi="Arial"/>
          <w:szCs w:val="20"/>
        </w:rPr>
        <w:t>from £</w:t>
      </w:r>
      <w:r w:rsidR="0015553C">
        <w:rPr>
          <w:rFonts w:ascii="Arial" w:hAnsi="Arial"/>
          <w:szCs w:val="20"/>
        </w:rPr>
        <w:t>478k in 2016/17</w:t>
      </w:r>
      <w:r w:rsidR="004B57D4">
        <w:rPr>
          <w:rFonts w:ascii="Arial" w:hAnsi="Arial"/>
          <w:szCs w:val="20"/>
        </w:rPr>
        <w:t xml:space="preserve"> to £</w:t>
      </w:r>
      <w:r w:rsidR="0015553C">
        <w:rPr>
          <w:rFonts w:ascii="Arial" w:hAnsi="Arial"/>
          <w:szCs w:val="20"/>
        </w:rPr>
        <w:t>269</w:t>
      </w:r>
      <w:r w:rsidR="00395565">
        <w:rPr>
          <w:rFonts w:ascii="Arial" w:hAnsi="Arial"/>
          <w:szCs w:val="20"/>
        </w:rPr>
        <w:t>k in 201</w:t>
      </w:r>
      <w:r w:rsidR="0015553C">
        <w:rPr>
          <w:rFonts w:ascii="Arial" w:hAnsi="Arial"/>
          <w:szCs w:val="20"/>
        </w:rPr>
        <w:t>7/18</w:t>
      </w:r>
      <w:r w:rsidR="004B57D4">
        <w:rPr>
          <w:rFonts w:ascii="Arial" w:hAnsi="Arial"/>
          <w:szCs w:val="20"/>
        </w:rPr>
        <w:t>.</w:t>
      </w:r>
    </w:p>
    <w:p w:rsidR="004B57D4" w:rsidRDefault="004B57D4" w:rsidP="004B57D4">
      <w:pPr>
        <w:rPr>
          <w:rFonts w:ascii="Arial" w:hAnsi="Arial"/>
          <w:szCs w:val="20"/>
        </w:rPr>
      </w:pPr>
    </w:p>
    <w:p w:rsidR="005F3DBA" w:rsidRDefault="005F3DBA" w:rsidP="00E227A1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These figures exclude the 6</w:t>
      </w:r>
      <w:r w:rsidRPr="005F3DBA">
        <w:rPr>
          <w:rFonts w:ascii="Arial" w:hAnsi="Arial"/>
          <w:szCs w:val="20"/>
          <w:vertAlign w:val="superscript"/>
        </w:rPr>
        <w:t>th</w:t>
      </w:r>
      <w:r>
        <w:rPr>
          <w:rFonts w:ascii="Arial" w:hAnsi="Arial"/>
          <w:szCs w:val="20"/>
        </w:rPr>
        <w:t xml:space="preserve"> form funding which s</w:t>
      </w:r>
      <w:r w:rsidR="00DA280F">
        <w:rPr>
          <w:rFonts w:ascii="Arial" w:hAnsi="Arial"/>
          <w:szCs w:val="20"/>
        </w:rPr>
        <w:t>till needs to</w:t>
      </w:r>
      <w:r w:rsidR="00D20AC0">
        <w:rPr>
          <w:rFonts w:ascii="Arial" w:hAnsi="Arial"/>
          <w:szCs w:val="20"/>
        </w:rPr>
        <w:t xml:space="preserve"> be</w:t>
      </w:r>
      <w:r w:rsidR="00DA280F">
        <w:rPr>
          <w:rFonts w:ascii="Arial" w:hAnsi="Arial"/>
          <w:szCs w:val="20"/>
        </w:rPr>
        <w:t xml:space="preserve"> provided by the EF</w:t>
      </w:r>
      <w:r>
        <w:rPr>
          <w:rFonts w:ascii="Arial" w:hAnsi="Arial"/>
          <w:szCs w:val="20"/>
        </w:rPr>
        <w:t xml:space="preserve">A and does not form part of the schools </w:t>
      </w:r>
      <w:r w:rsidR="00DA280F">
        <w:rPr>
          <w:rFonts w:ascii="Arial" w:hAnsi="Arial"/>
          <w:szCs w:val="20"/>
        </w:rPr>
        <w:t xml:space="preserve">funding </w:t>
      </w:r>
      <w:r>
        <w:rPr>
          <w:rFonts w:ascii="Arial" w:hAnsi="Arial"/>
          <w:szCs w:val="20"/>
        </w:rPr>
        <w:t>formula. It also excludes additional resource provision</w:t>
      </w:r>
      <w:r w:rsidR="00F07559">
        <w:rPr>
          <w:rFonts w:ascii="Arial" w:hAnsi="Arial"/>
          <w:szCs w:val="20"/>
        </w:rPr>
        <w:t xml:space="preserve"> and</w:t>
      </w:r>
      <w:r>
        <w:rPr>
          <w:rFonts w:ascii="Arial" w:hAnsi="Arial"/>
          <w:szCs w:val="20"/>
        </w:rPr>
        <w:t xml:space="preserve"> individual pupil statement funding which forms part of the high needs block and will be </w:t>
      </w:r>
      <w:r w:rsidR="004B57D4">
        <w:rPr>
          <w:rFonts w:ascii="Arial" w:hAnsi="Arial"/>
          <w:szCs w:val="20"/>
        </w:rPr>
        <w:t xml:space="preserve">reported on </w:t>
      </w:r>
      <w:r>
        <w:rPr>
          <w:rFonts w:ascii="Arial" w:hAnsi="Arial"/>
          <w:szCs w:val="20"/>
        </w:rPr>
        <w:t>separately.</w:t>
      </w:r>
      <w:r w:rsidR="00DA280F">
        <w:rPr>
          <w:rFonts w:ascii="Arial" w:hAnsi="Arial"/>
          <w:szCs w:val="20"/>
        </w:rPr>
        <w:t xml:space="preserve"> </w:t>
      </w:r>
    </w:p>
    <w:p w:rsidR="00F07559" w:rsidRDefault="00F07559" w:rsidP="00F07559">
      <w:pPr>
        <w:pStyle w:val="ListParagraph"/>
        <w:rPr>
          <w:rFonts w:ascii="Arial" w:hAnsi="Arial"/>
          <w:szCs w:val="20"/>
        </w:rPr>
      </w:pPr>
    </w:p>
    <w:p w:rsidR="00F07559" w:rsidRDefault="00F07559" w:rsidP="00E227A1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</w:t>
      </w:r>
      <w:r w:rsidR="00DA280F">
        <w:rPr>
          <w:rFonts w:ascii="Arial" w:hAnsi="Arial"/>
          <w:szCs w:val="20"/>
        </w:rPr>
        <w:t>figure</w:t>
      </w:r>
      <w:r w:rsidR="00D20AC0">
        <w:rPr>
          <w:rFonts w:ascii="Arial" w:hAnsi="Arial"/>
          <w:szCs w:val="20"/>
        </w:rPr>
        <w:t>s</w:t>
      </w:r>
      <w:r w:rsidR="00D06521">
        <w:rPr>
          <w:rFonts w:ascii="Arial" w:hAnsi="Arial"/>
          <w:szCs w:val="20"/>
        </w:rPr>
        <w:t xml:space="preserve"> in A</w:t>
      </w:r>
      <w:r w:rsidR="00DA280F">
        <w:rPr>
          <w:rFonts w:ascii="Arial" w:hAnsi="Arial"/>
          <w:szCs w:val="20"/>
        </w:rPr>
        <w:t>ppendix 1 also exclude</w:t>
      </w:r>
      <w:r w:rsidR="00D06521">
        <w:rPr>
          <w:rFonts w:ascii="Arial" w:hAnsi="Arial"/>
          <w:szCs w:val="20"/>
        </w:rPr>
        <w:t xml:space="preserve"> the bulge class funding</w:t>
      </w:r>
      <w:r>
        <w:rPr>
          <w:rFonts w:ascii="Arial" w:hAnsi="Arial"/>
          <w:szCs w:val="20"/>
        </w:rPr>
        <w:t xml:space="preserve"> which is held centrally and will be paid to schools as part of their monthly advances.</w:t>
      </w:r>
    </w:p>
    <w:p w:rsidR="005F3DBA" w:rsidRDefault="005F3DBA" w:rsidP="005F3DBA">
      <w:pPr>
        <w:pStyle w:val="ListParagraph"/>
        <w:rPr>
          <w:rFonts w:ascii="Arial" w:hAnsi="Arial"/>
          <w:szCs w:val="20"/>
        </w:rPr>
      </w:pPr>
    </w:p>
    <w:p w:rsidR="005F3DBA" w:rsidRDefault="005F3DBA" w:rsidP="00E227A1">
      <w:pPr>
        <w:numPr>
          <w:ilvl w:val="0"/>
          <w:numId w:val="8"/>
        </w:numPr>
        <w:tabs>
          <w:tab w:val="clear" w:pos="927"/>
          <w:tab w:val="num" w:pos="720"/>
        </w:tabs>
        <w:ind w:left="720" w:hanging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Pupil Premium funding is not included in these figures and</w:t>
      </w:r>
      <w:r w:rsidR="004612A6">
        <w:rPr>
          <w:rFonts w:ascii="Arial" w:hAnsi="Arial"/>
          <w:szCs w:val="20"/>
        </w:rPr>
        <w:t xml:space="preserve"> estimated </w:t>
      </w:r>
      <w:r w:rsidR="00DA280F">
        <w:rPr>
          <w:rFonts w:ascii="Arial" w:hAnsi="Arial"/>
          <w:szCs w:val="20"/>
        </w:rPr>
        <w:t xml:space="preserve">figures </w:t>
      </w:r>
      <w:r>
        <w:rPr>
          <w:rFonts w:ascii="Arial" w:hAnsi="Arial"/>
          <w:szCs w:val="20"/>
        </w:rPr>
        <w:t>will be provided separately when schools are in</w:t>
      </w:r>
      <w:r w:rsidR="0015553C">
        <w:rPr>
          <w:rFonts w:ascii="Arial" w:hAnsi="Arial"/>
          <w:szCs w:val="20"/>
        </w:rPr>
        <w:t>formed of their budgets for 2017/18</w:t>
      </w:r>
      <w:r>
        <w:rPr>
          <w:rFonts w:ascii="Arial" w:hAnsi="Arial"/>
          <w:szCs w:val="20"/>
        </w:rPr>
        <w:t xml:space="preserve">. </w:t>
      </w:r>
    </w:p>
    <w:p w:rsidR="00904A8D" w:rsidRDefault="00904A8D">
      <w:pPr>
        <w:pStyle w:val="Header"/>
        <w:tabs>
          <w:tab w:val="clear" w:pos="4153"/>
          <w:tab w:val="clear" w:pos="8306"/>
        </w:tabs>
        <w:ind w:left="1980"/>
      </w:pPr>
    </w:p>
    <w:p w:rsidR="00904A8D" w:rsidRDefault="00904A8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b/>
        </w:rPr>
      </w:pPr>
      <w:r>
        <w:rPr>
          <w:rFonts w:cs="Arial"/>
          <w:b/>
          <w:bCs/>
          <w:sz w:val="28"/>
        </w:rPr>
        <w:t>Financial, resource and property implications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:rsidR="00904A8D" w:rsidRDefault="00B56C5A">
      <w:pPr>
        <w:pStyle w:val="Header"/>
        <w:tabs>
          <w:tab w:val="clear" w:pos="4153"/>
          <w:tab w:val="clear" w:pos="8306"/>
        </w:tabs>
        <w:ind w:left="720" w:hanging="720"/>
        <w:rPr>
          <w:bCs/>
        </w:rPr>
      </w:pPr>
      <w:r>
        <w:rPr>
          <w:bCs/>
        </w:rPr>
        <w:t>4</w:t>
      </w:r>
      <w:r w:rsidR="00904A8D">
        <w:rPr>
          <w:bCs/>
        </w:rPr>
        <w:t>.1</w:t>
      </w:r>
      <w:r w:rsidR="00904A8D">
        <w:rPr>
          <w:bCs/>
        </w:rPr>
        <w:tab/>
        <w:t>The financial implications are detailed in the main body of this report</w:t>
      </w:r>
      <w:r w:rsidR="00974BB9">
        <w:rPr>
          <w:bCs/>
        </w:rPr>
        <w:t>.</w:t>
      </w:r>
      <w:r w:rsidR="00904A8D">
        <w:rPr>
          <w:bCs/>
        </w:rPr>
        <w:br/>
      </w:r>
    </w:p>
    <w:p w:rsidR="00904A8D" w:rsidRDefault="00904A8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b/>
        </w:rPr>
      </w:pPr>
      <w:r>
        <w:rPr>
          <w:rFonts w:cs="Arial"/>
          <w:b/>
          <w:bCs/>
          <w:sz w:val="28"/>
        </w:rPr>
        <w:t>Legal and statutory implications</w:t>
      </w:r>
      <w:r>
        <w:rPr>
          <w:b/>
        </w:rPr>
        <w:br/>
      </w:r>
    </w:p>
    <w:p w:rsidR="00904A8D" w:rsidRDefault="00904A8D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</w:pPr>
      <w:r>
        <w:t xml:space="preserve">No legal implications at this stage. </w:t>
      </w:r>
    </w:p>
    <w:p w:rsidR="00904A8D" w:rsidRDefault="00904A8D">
      <w:pPr>
        <w:pStyle w:val="Header"/>
        <w:tabs>
          <w:tab w:val="clear" w:pos="4153"/>
          <w:tab w:val="clear" w:pos="8306"/>
        </w:tabs>
        <w:ind w:left="285" w:hanging="285"/>
        <w:rPr>
          <w:b/>
        </w:rPr>
      </w:pPr>
    </w:p>
    <w:p w:rsidR="00904A8D" w:rsidRDefault="00904A8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b/>
        </w:rPr>
      </w:pPr>
      <w:r>
        <w:rPr>
          <w:rFonts w:cs="Arial"/>
          <w:b/>
          <w:bCs/>
          <w:sz w:val="28"/>
        </w:rPr>
        <w:t>Human rights, equalities and community cohesion implications</w:t>
      </w:r>
      <w:r>
        <w:rPr>
          <w:b/>
        </w:rPr>
        <w:br/>
      </w:r>
    </w:p>
    <w:p w:rsidR="00904A8D" w:rsidRDefault="00904A8D">
      <w:pPr>
        <w:pStyle w:val="Header"/>
        <w:numPr>
          <w:ilvl w:val="1"/>
          <w:numId w:val="2"/>
        </w:numPr>
        <w:tabs>
          <w:tab w:val="clear" w:pos="720"/>
          <w:tab w:val="clear" w:pos="4153"/>
          <w:tab w:val="clear" w:pos="8306"/>
        </w:tabs>
        <w:ind w:left="900" w:hanging="900"/>
      </w:pPr>
      <w:r>
        <w:t>None at this stage.</w:t>
      </w:r>
    </w:p>
    <w:p w:rsidR="00904A8D" w:rsidRDefault="00904A8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Appendices</w:t>
      </w:r>
    </w:p>
    <w:p w:rsidR="00904A8D" w:rsidRDefault="00904A8D">
      <w:pPr>
        <w:pStyle w:val="Header"/>
        <w:tabs>
          <w:tab w:val="clear" w:pos="4153"/>
          <w:tab w:val="clear" w:pos="8306"/>
        </w:tabs>
      </w:pPr>
    </w:p>
    <w:p w:rsidR="00904A8D" w:rsidRDefault="00F73079">
      <w:pPr>
        <w:pStyle w:val="Header"/>
        <w:numPr>
          <w:ilvl w:val="1"/>
          <w:numId w:val="2"/>
        </w:numPr>
        <w:tabs>
          <w:tab w:val="clear" w:pos="720"/>
          <w:tab w:val="clear" w:pos="4153"/>
          <w:tab w:val="clear" w:pos="8306"/>
        </w:tabs>
        <w:ind w:left="900" w:hanging="900"/>
      </w:pPr>
      <w:r>
        <w:t xml:space="preserve">Appendix 1: </w:t>
      </w:r>
      <w:r w:rsidR="00DA280F">
        <w:t>ISB a</w:t>
      </w:r>
      <w:r>
        <w:t>llocation</w:t>
      </w:r>
      <w:r w:rsidR="00DD2FA7">
        <w:t>s</w:t>
      </w:r>
    </w:p>
    <w:p w:rsidR="00F73079" w:rsidRDefault="00F73079">
      <w:pPr>
        <w:pStyle w:val="Header"/>
        <w:numPr>
          <w:ilvl w:val="1"/>
          <w:numId w:val="2"/>
        </w:numPr>
        <w:tabs>
          <w:tab w:val="clear" w:pos="720"/>
          <w:tab w:val="clear" w:pos="4153"/>
          <w:tab w:val="clear" w:pos="8306"/>
        </w:tabs>
        <w:ind w:left="900" w:hanging="900"/>
      </w:pPr>
      <w:r>
        <w:t xml:space="preserve">Appendix 2: </w:t>
      </w:r>
      <w:r w:rsidR="00243B14">
        <w:t xml:space="preserve">Schools Funding </w:t>
      </w:r>
      <w:r w:rsidR="00EB5A06">
        <w:t>Pro-forma</w:t>
      </w:r>
    </w:p>
    <w:p w:rsidR="00F73079" w:rsidRDefault="00904A8D">
      <w:pPr>
        <w:pStyle w:val="Header"/>
        <w:tabs>
          <w:tab w:val="clear" w:pos="4153"/>
          <w:tab w:val="clear" w:pos="8306"/>
        </w:tabs>
      </w:pPr>
      <w:r>
        <w:tab/>
      </w:r>
    </w:p>
    <w:p w:rsidR="00904A8D" w:rsidRDefault="00904A8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Background Papers – the following documents have been relied on in drawing up this report but do not form part of the report: </w:t>
      </w:r>
    </w:p>
    <w:p w:rsidR="00904A8D" w:rsidRDefault="00904A8D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 w:val="28"/>
        </w:rPr>
      </w:pPr>
    </w:p>
    <w:p w:rsidR="00904A8D" w:rsidRDefault="00904A8D" w:rsidP="00974BB9">
      <w:pPr>
        <w:pStyle w:val="Header"/>
        <w:numPr>
          <w:ilvl w:val="1"/>
          <w:numId w:val="2"/>
        </w:numPr>
        <w:tabs>
          <w:tab w:val="clear" w:pos="4153"/>
          <w:tab w:val="clear" w:pos="8306"/>
          <w:tab w:val="left" w:pos="720"/>
        </w:tabs>
        <w:ind w:hanging="720"/>
      </w:pPr>
      <w:r>
        <w:t xml:space="preserve">Centrally held financial information and other papers held by the </w:t>
      </w:r>
      <w:smartTag w:uri="urn:schemas-microsoft-com:office:smarttags" w:element="place">
        <w:smartTag w:uri="urn:schemas-microsoft-com:office:smarttags" w:element="PlaceName">
          <w:r>
            <w:t>Children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  <w:r>
        <w:t xml:space="preserve"> and Families Finance Team.</w:t>
      </w:r>
    </w:p>
    <w:p w:rsidR="00904A8D" w:rsidRDefault="00904A8D">
      <w:pPr>
        <w:pStyle w:val="Header"/>
        <w:tabs>
          <w:tab w:val="clear" w:pos="4153"/>
          <w:tab w:val="clear" w:pos="8306"/>
        </w:tabs>
      </w:pPr>
    </w:p>
    <w:p w:rsidR="00904A8D" w:rsidRDefault="00904A8D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Report author</w:t>
      </w:r>
    </w:p>
    <w:p w:rsidR="00904A8D" w:rsidRDefault="00904A8D">
      <w:pPr>
        <w:pStyle w:val="Header"/>
        <w:tabs>
          <w:tab w:val="clear" w:pos="4153"/>
          <w:tab w:val="clear" w:pos="8306"/>
        </w:tabs>
      </w:pPr>
    </w:p>
    <w:p w:rsidR="00904A8D" w:rsidRDefault="00904A8D">
      <w:pPr>
        <w:pStyle w:val="Header"/>
        <w:tabs>
          <w:tab w:val="clear" w:pos="4153"/>
          <w:tab w:val="clear" w:pos="8306"/>
        </w:tabs>
      </w:pPr>
      <w:r>
        <w:t>Marius Karsten</w:t>
      </w:r>
      <w:r w:rsidR="00DA280F">
        <w:t>-Strydom</w:t>
      </w:r>
      <w:r>
        <w:t xml:space="preserve">, Service Financial Adviser CSF    </w:t>
      </w:r>
    </w:p>
    <w:p w:rsidR="00904A8D" w:rsidRDefault="00904A8D">
      <w:pPr>
        <w:pStyle w:val="Header"/>
        <w:tabs>
          <w:tab w:val="clear" w:pos="4153"/>
          <w:tab w:val="clear" w:pos="8306"/>
        </w:tabs>
      </w:pPr>
      <w:r>
        <w:t>0208 545 4129</w:t>
      </w:r>
    </w:p>
    <w:p w:rsidR="00904A8D" w:rsidRDefault="00A26972">
      <w:pPr>
        <w:pStyle w:val="Header"/>
        <w:tabs>
          <w:tab w:val="clear" w:pos="4153"/>
          <w:tab w:val="clear" w:pos="8306"/>
        </w:tabs>
      </w:pPr>
      <w:hyperlink r:id="rId8" w:history="1">
        <w:r w:rsidR="00904A8D">
          <w:rPr>
            <w:rStyle w:val="Hyperlink"/>
          </w:rPr>
          <w:t>marius.karsten@merton.gov.uk</w:t>
        </w:r>
      </w:hyperlink>
    </w:p>
    <w:p w:rsidR="00904A8D" w:rsidRDefault="00904A8D">
      <w:pPr>
        <w:pStyle w:val="Header"/>
        <w:tabs>
          <w:tab w:val="clear" w:pos="4153"/>
          <w:tab w:val="clear" w:pos="8306"/>
        </w:tabs>
      </w:pPr>
    </w:p>
    <w:p w:rsidR="00904A8D" w:rsidRDefault="00904A8D">
      <w:pPr>
        <w:pStyle w:val="Header"/>
        <w:tabs>
          <w:tab w:val="clear" w:pos="4153"/>
          <w:tab w:val="clear" w:pos="8306"/>
        </w:tabs>
      </w:pPr>
      <w:r>
        <w:t xml:space="preserve">Further information about Merton Council can be obtained from its web site </w:t>
      </w:r>
      <w:hyperlink r:id="rId9" w:history="1">
        <w:r>
          <w:rPr>
            <w:rStyle w:val="Hyperlink"/>
          </w:rPr>
          <w:t>www.merton.gov.uk</w:t>
        </w:r>
      </w:hyperlink>
      <w:r>
        <w:t xml:space="preserve"> </w:t>
      </w:r>
    </w:p>
    <w:p w:rsidR="00904A8D" w:rsidRDefault="00904A8D">
      <w:pPr>
        <w:pStyle w:val="Header"/>
        <w:tabs>
          <w:tab w:val="clear" w:pos="4153"/>
          <w:tab w:val="clear" w:pos="8306"/>
        </w:tabs>
        <w:jc w:val="right"/>
        <w:rPr>
          <w:b/>
          <w:sz w:val="36"/>
        </w:rPr>
      </w:pPr>
    </w:p>
    <w:sectPr w:rsidR="00904A8D" w:rsidSect="00B56C5A">
      <w:footerReference w:type="default" r:id="rId10"/>
      <w:pgSz w:w="11906" w:h="16838"/>
      <w:pgMar w:top="1440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47" w:rsidRDefault="00CC3C47">
      <w:r>
        <w:separator/>
      </w:r>
    </w:p>
  </w:endnote>
  <w:endnote w:type="continuationSeparator" w:id="0">
    <w:p w:rsidR="00CC3C47" w:rsidRDefault="00CC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47" w:rsidRDefault="00CC3C47" w:rsidP="00C268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9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47" w:rsidRDefault="00CC3C47">
      <w:r>
        <w:separator/>
      </w:r>
    </w:p>
  </w:footnote>
  <w:footnote w:type="continuationSeparator" w:id="0">
    <w:p w:rsidR="00CC3C47" w:rsidRDefault="00CC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FFB"/>
    <w:multiLevelType w:val="hybridMultilevel"/>
    <w:tmpl w:val="894CA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66B57"/>
    <w:multiLevelType w:val="hybridMultilevel"/>
    <w:tmpl w:val="0BB4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72398"/>
    <w:multiLevelType w:val="hybridMultilevel"/>
    <w:tmpl w:val="501E0576"/>
    <w:lvl w:ilvl="0" w:tplc="B9265FF2">
      <w:start w:val="1"/>
      <w:numFmt w:val="decimal"/>
      <w:lvlText w:val="3.%1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C7F22"/>
    <w:multiLevelType w:val="hybridMultilevel"/>
    <w:tmpl w:val="0BB4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47A8E"/>
    <w:multiLevelType w:val="hybridMultilevel"/>
    <w:tmpl w:val="0BB4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0795D"/>
    <w:multiLevelType w:val="hybridMultilevel"/>
    <w:tmpl w:val="8A1A76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5632B"/>
    <w:multiLevelType w:val="multilevel"/>
    <w:tmpl w:val="39304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25E5A16"/>
    <w:multiLevelType w:val="hybridMultilevel"/>
    <w:tmpl w:val="03D66AFC"/>
    <w:lvl w:ilvl="0" w:tplc="FFFFFFFF">
      <w:start w:val="2"/>
      <w:numFmt w:val="upperLetter"/>
      <w:pStyle w:val="Heading7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B2095"/>
    <w:multiLevelType w:val="multilevel"/>
    <w:tmpl w:val="A002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9">
    <w:nsid w:val="7CAA5097"/>
    <w:multiLevelType w:val="hybridMultilevel"/>
    <w:tmpl w:val="CA804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0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9CEB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921F4A">
      <w:start w:val="1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2F"/>
    <w:rsid w:val="00010E9D"/>
    <w:rsid w:val="000159C0"/>
    <w:rsid w:val="00022685"/>
    <w:rsid w:val="00026579"/>
    <w:rsid w:val="000460BA"/>
    <w:rsid w:val="00075F50"/>
    <w:rsid w:val="00082785"/>
    <w:rsid w:val="0009256C"/>
    <w:rsid w:val="00097655"/>
    <w:rsid w:val="000C15D0"/>
    <w:rsid w:val="000C6058"/>
    <w:rsid w:val="000F322E"/>
    <w:rsid w:val="000F3970"/>
    <w:rsid w:val="0011007A"/>
    <w:rsid w:val="0013595A"/>
    <w:rsid w:val="00141A2C"/>
    <w:rsid w:val="001421B7"/>
    <w:rsid w:val="00150060"/>
    <w:rsid w:val="0015553C"/>
    <w:rsid w:val="00165D1D"/>
    <w:rsid w:val="00171DEA"/>
    <w:rsid w:val="00185B84"/>
    <w:rsid w:val="00196F7A"/>
    <w:rsid w:val="001E6912"/>
    <w:rsid w:val="00201EBA"/>
    <w:rsid w:val="00202901"/>
    <w:rsid w:val="002035FD"/>
    <w:rsid w:val="002157C8"/>
    <w:rsid w:val="00243B14"/>
    <w:rsid w:val="00261438"/>
    <w:rsid w:val="002706D3"/>
    <w:rsid w:val="00284116"/>
    <w:rsid w:val="00284411"/>
    <w:rsid w:val="002A011D"/>
    <w:rsid w:val="002A1D0D"/>
    <w:rsid w:val="002E547D"/>
    <w:rsid w:val="002E5D2C"/>
    <w:rsid w:val="002E6C06"/>
    <w:rsid w:val="002F5511"/>
    <w:rsid w:val="00301840"/>
    <w:rsid w:val="00332BD5"/>
    <w:rsid w:val="00343C21"/>
    <w:rsid w:val="003562D3"/>
    <w:rsid w:val="00394795"/>
    <w:rsid w:val="00395565"/>
    <w:rsid w:val="003B426F"/>
    <w:rsid w:val="00411C33"/>
    <w:rsid w:val="0041573F"/>
    <w:rsid w:val="004220DA"/>
    <w:rsid w:val="00424D25"/>
    <w:rsid w:val="00440F42"/>
    <w:rsid w:val="004442C3"/>
    <w:rsid w:val="004452D0"/>
    <w:rsid w:val="00451102"/>
    <w:rsid w:val="00456E65"/>
    <w:rsid w:val="004612A6"/>
    <w:rsid w:val="004651BE"/>
    <w:rsid w:val="0048394B"/>
    <w:rsid w:val="004850A3"/>
    <w:rsid w:val="004873E5"/>
    <w:rsid w:val="00494B02"/>
    <w:rsid w:val="00497AE8"/>
    <w:rsid w:val="004B57D4"/>
    <w:rsid w:val="004C26F6"/>
    <w:rsid w:val="004C4B47"/>
    <w:rsid w:val="004D370E"/>
    <w:rsid w:val="00502787"/>
    <w:rsid w:val="00510738"/>
    <w:rsid w:val="00511CB6"/>
    <w:rsid w:val="0051480E"/>
    <w:rsid w:val="005175A2"/>
    <w:rsid w:val="0053247D"/>
    <w:rsid w:val="005549CF"/>
    <w:rsid w:val="005623FC"/>
    <w:rsid w:val="00587F20"/>
    <w:rsid w:val="005B1BE3"/>
    <w:rsid w:val="005C13AE"/>
    <w:rsid w:val="005F3DBA"/>
    <w:rsid w:val="005F7000"/>
    <w:rsid w:val="00610494"/>
    <w:rsid w:val="00663BD2"/>
    <w:rsid w:val="00672CDF"/>
    <w:rsid w:val="00682A97"/>
    <w:rsid w:val="00683B04"/>
    <w:rsid w:val="0069696A"/>
    <w:rsid w:val="006A054B"/>
    <w:rsid w:val="006A1CB0"/>
    <w:rsid w:val="006A3290"/>
    <w:rsid w:val="006C6CCA"/>
    <w:rsid w:val="007332FB"/>
    <w:rsid w:val="007361E3"/>
    <w:rsid w:val="00736FD3"/>
    <w:rsid w:val="00745110"/>
    <w:rsid w:val="007657BC"/>
    <w:rsid w:val="007662BC"/>
    <w:rsid w:val="00781FA0"/>
    <w:rsid w:val="00786603"/>
    <w:rsid w:val="007B2203"/>
    <w:rsid w:val="007B6AC4"/>
    <w:rsid w:val="007E18A6"/>
    <w:rsid w:val="008139D1"/>
    <w:rsid w:val="00822CFC"/>
    <w:rsid w:val="00833E16"/>
    <w:rsid w:val="00840657"/>
    <w:rsid w:val="00844A68"/>
    <w:rsid w:val="00847530"/>
    <w:rsid w:val="0088075E"/>
    <w:rsid w:val="008919CD"/>
    <w:rsid w:val="00893A0F"/>
    <w:rsid w:val="00897470"/>
    <w:rsid w:val="008A26AD"/>
    <w:rsid w:val="008A2C83"/>
    <w:rsid w:val="008A2EB2"/>
    <w:rsid w:val="008A7C24"/>
    <w:rsid w:val="008B43EB"/>
    <w:rsid w:val="008D44D9"/>
    <w:rsid w:val="008D4BA3"/>
    <w:rsid w:val="008F6925"/>
    <w:rsid w:val="00904A8D"/>
    <w:rsid w:val="0092072A"/>
    <w:rsid w:val="00974BB9"/>
    <w:rsid w:val="009A2FBF"/>
    <w:rsid w:val="009B3EB8"/>
    <w:rsid w:val="009B5B51"/>
    <w:rsid w:val="009D2B65"/>
    <w:rsid w:val="009D66C8"/>
    <w:rsid w:val="00A0291D"/>
    <w:rsid w:val="00A06DE6"/>
    <w:rsid w:val="00A12DEF"/>
    <w:rsid w:val="00A26972"/>
    <w:rsid w:val="00A26B18"/>
    <w:rsid w:val="00A36F4B"/>
    <w:rsid w:val="00A47659"/>
    <w:rsid w:val="00A650DC"/>
    <w:rsid w:val="00A706E3"/>
    <w:rsid w:val="00A73B46"/>
    <w:rsid w:val="00A833FD"/>
    <w:rsid w:val="00A905CA"/>
    <w:rsid w:val="00AA24F9"/>
    <w:rsid w:val="00AB4BFA"/>
    <w:rsid w:val="00AC7C0C"/>
    <w:rsid w:val="00AE475F"/>
    <w:rsid w:val="00AE7850"/>
    <w:rsid w:val="00B04DDF"/>
    <w:rsid w:val="00B06B19"/>
    <w:rsid w:val="00B176B0"/>
    <w:rsid w:val="00B225B3"/>
    <w:rsid w:val="00B3564D"/>
    <w:rsid w:val="00B36C28"/>
    <w:rsid w:val="00B41E73"/>
    <w:rsid w:val="00B56C5A"/>
    <w:rsid w:val="00B959A8"/>
    <w:rsid w:val="00BC2A51"/>
    <w:rsid w:val="00BD2328"/>
    <w:rsid w:val="00BD3873"/>
    <w:rsid w:val="00BD4E51"/>
    <w:rsid w:val="00BD5865"/>
    <w:rsid w:val="00BE5714"/>
    <w:rsid w:val="00BF6604"/>
    <w:rsid w:val="00C23C8F"/>
    <w:rsid w:val="00C26836"/>
    <w:rsid w:val="00C4634B"/>
    <w:rsid w:val="00C86427"/>
    <w:rsid w:val="00C871AB"/>
    <w:rsid w:val="00C9013B"/>
    <w:rsid w:val="00CA11E3"/>
    <w:rsid w:val="00CB095C"/>
    <w:rsid w:val="00CB3DFC"/>
    <w:rsid w:val="00CC1FD2"/>
    <w:rsid w:val="00CC3C47"/>
    <w:rsid w:val="00CC5EAD"/>
    <w:rsid w:val="00CF272F"/>
    <w:rsid w:val="00CF64AD"/>
    <w:rsid w:val="00D03637"/>
    <w:rsid w:val="00D06521"/>
    <w:rsid w:val="00D07EB6"/>
    <w:rsid w:val="00D123E4"/>
    <w:rsid w:val="00D1297D"/>
    <w:rsid w:val="00D20AC0"/>
    <w:rsid w:val="00D504E3"/>
    <w:rsid w:val="00D513DD"/>
    <w:rsid w:val="00D56828"/>
    <w:rsid w:val="00D574FA"/>
    <w:rsid w:val="00D933CE"/>
    <w:rsid w:val="00DA280F"/>
    <w:rsid w:val="00DA30A9"/>
    <w:rsid w:val="00DA5779"/>
    <w:rsid w:val="00DB17E4"/>
    <w:rsid w:val="00DB32DE"/>
    <w:rsid w:val="00DB5E20"/>
    <w:rsid w:val="00DD2FA7"/>
    <w:rsid w:val="00DF26E2"/>
    <w:rsid w:val="00E04DA2"/>
    <w:rsid w:val="00E227A1"/>
    <w:rsid w:val="00E55826"/>
    <w:rsid w:val="00E568D3"/>
    <w:rsid w:val="00E71736"/>
    <w:rsid w:val="00E76589"/>
    <w:rsid w:val="00E8237D"/>
    <w:rsid w:val="00E958A6"/>
    <w:rsid w:val="00E97EA5"/>
    <w:rsid w:val="00EB5A06"/>
    <w:rsid w:val="00EC2DB9"/>
    <w:rsid w:val="00EE45A9"/>
    <w:rsid w:val="00EE63CD"/>
    <w:rsid w:val="00EF4088"/>
    <w:rsid w:val="00F07559"/>
    <w:rsid w:val="00F12ABA"/>
    <w:rsid w:val="00F27597"/>
    <w:rsid w:val="00F4301A"/>
    <w:rsid w:val="00F722D4"/>
    <w:rsid w:val="00F73079"/>
    <w:rsid w:val="00FA64AC"/>
    <w:rsid w:val="00FE3D1A"/>
    <w:rsid w:val="00FF32FA"/>
    <w:rsid w:val="00FF3EA4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b/>
      <w:bCs/>
      <w:szCs w:val="20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rsid w:val="00A26B18"/>
    <w:pPr>
      <w:spacing w:after="120"/>
    </w:pPr>
  </w:style>
  <w:style w:type="paragraph" w:styleId="Footer">
    <w:name w:val="footer"/>
    <w:basedOn w:val="Normal"/>
    <w:rsid w:val="00C268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836"/>
  </w:style>
  <w:style w:type="table" w:styleId="TableGrid">
    <w:name w:val="Table Grid"/>
    <w:basedOn w:val="TableNormal"/>
    <w:rsid w:val="00BE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CB0"/>
    <w:pPr>
      <w:ind w:left="720"/>
    </w:pPr>
  </w:style>
  <w:style w:type="paragraph" w:styleId="BalloonText">
    <w:name w:val="Balloon Text"/>
    <w:basedOn w:val="Normal"/>
    <w:link w:val="BalloonTextChar"/>
    <w:rsid w:val="00DB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2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b/>
      <w:bCs/>
      <w:szCs w:val="20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rsid w:val="00A26B18"/>
    <w:pPr>
      <w:spacing w:after="120"/>
    </w:pPr>
  </w:style>
  <w:style w:type="paragraph" w:styleId="Footer">
    <w:name w:val="footer"/>
    <w:basedOn w:val="Normal"/>
    <w:rsid w:val="00C268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836"/>
  </w:style>
  <w:style w:type="table" w:styleId="TableGrid">
    <w:name w:val="Table Grid"/>
    <w:basedOn w:val="TableNormal"/>
    <w:rsid w:val="00BE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CB0"/>
    <w:pPr>
      <w:ind w:left="720"/>
    </w:pPr>
  </w:style>
  <w:style w:type="paragraph" w:styleId="BalloonText">
    <w:name w:val="Balloon Text"/>
    <w:basedOn w:val="Normal"/>
    <w:link w:val="BalloonTextChar"/>
    <w:rsid w:val="00DB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2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.Church@merton.gov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ton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D1C1E-D76B-41E7-97A4-A6ADE414F463}"/>
</file>

<file path=customXml/itemProps2.xml><?xml version="1.0" encoding="utf-8"?>
<ds:datastoreItem xmlns:ds="http://schemas.openxmlformats.org/officeDocument/2006/customXml" ds:itemID="{89D61503-7247-4165-AACF-9D81A8048AD1}"/>
</file>

<file path=customXml/itemProps3.xml><?xml version="1.0" encoding="utf-8"?>
<ds:datastoreItem xmlns:ds="http://schemas.openxmlformats.org/officeDocument/2006/customXml" ds:itemID="{21D7ED50-D666-472A-A97B-92CB8A6CE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   October 16 2006</vt:lpstr>
    </vt:vector>
  </TitlesOfParts>
  <Company>LBM</Company>
  <LinksUpToDate>false</LinksUpToDate>
  <CharactersWithSpaces>9801</CharactersWithSpaces>
  <SharedDoc>false</SharedDoc>
  <HLinks>
    <vt:vector size="12" baseType="variant">
      <vt:variant>
        <vt:i4>6225995</vt:i4>
      </vt:variant>
      <vt:variant>
        <vt:i4>3</vt:i4>
      </vt:variant>
      <vt:variant>
        <vt:i4>0</vt:i4>
      </vt:variant>
      <vt:variant>
        <vt:i4>5</vt:i4>
      </vt:variant>
      <vt:variant>
        <vt:lpwstr>http://www.merton.gov.uk/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mailto:Zoe.Church@merton.gov.uk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   October 16 2006</dc:title>
  <dc:creator>Zoe Church</dc:creator>
  <cp:lastModifiedBy>marius karsten</cp:lastModifiedBy>
  <cp:revision>18</cp:revision>
  <cp:lastPrinted>2017-01-27T15:29:00Z</cp:lastPrinted>
  <dcterms:created xsi:type="dcterms:W3CDTF">2016-08-16T13:30:00Z</dcterms:created>
  <dcterms:modified xsi:type="dcterms:W3CDTF">2017-01-27T15:29:00Z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