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trPr>
          <w:trHeight w:val="680"/>
        </w:trPr>
        <w:tc>
          <w:tcPr>
            <w:tcW w:w="6440" w:type="dxa"/>
          </w:tcPr>
          <w:p w:rsidR="00904A8D" w:rsidRDefault="00904A8D">
            <w:pPr>
              <w:pStyle w:val="Header"/>
              <w:tabs>
                <w:tab w:val="clear" w:pos="4153"/>
                <w:tab w:val="clear" w:pos="8306"/>
              </w:tabs>
              <w:spacing w:after="120"/>
              <w:rPr>
                <w:b/>
                <w:sz w:val="32"/>
              </w:rPr>
            </w:pPr>
          </w:p>
          <w:p w:rsidR="00904A8D" w:rsidRDefault="00DB5E20" w:rsidP="004253D4">
            <w:pPr>
              <w:pStyle w:val="Header"/>
              <w:tabs>
                <w:tab w:val="clear" w:pos="4153"/>
                <w:tab w:val="clear" w:pos="8306"/>
              </w:tabs>
              <w:spacing w:after="120"/>
              <w:rPr>
                <w:b/>
              </w:rPr>
            </w:pPr>
            <w:r>
              <w:rPr>
                <w:b/>
                <w:sz w:val="32"/>
              </w:rPr>
              <w:t xml:space="preserve">Schools Forum    </w:t>
            </w:r>
            <w:r w:rsidR="00AF2743">
              <w:rPr>
                <w:b/>
                <w:sz w:val="32"/>
              </w:rPr>
              <w:t>3</w:t>
            </w:r>
            <w:r w:rsidR="004253D4">
              <w:rPr>
                <w:b/>
                <w:sz w:val="32"/>
              </w:rPr>
              <w:t>1</w:t>
            </w:r>
            <w:r w:rsidR="004253D4" w:rsidRPr="004253D4">
              <w:rPr>
                <w:b/>
                <w:sz w:val="32"/>
                <w:vertAlign w:val="superscript"/>
              </w:rPr>
              <w:t>st</w:t>
            </w:r>
            <w:r w:rsidR="004253D4">
              <w:rPr>
                <w:b/>
                <w:sz w:val="32"/>
              </w:rPr>
              <w:t xml:space="preserve"> Jan</w:t>
            </w:r>
            <w:r>
              <w:rPr>
                <w:b/>
                <w:sz w:val="32"/>
              </w:rPr>
              <w:t>uary</w:t>
            </w:r>
            <w:r w:rsidR="00904A8D">
              <w:rPr>
                <w:b/>
                <w:sz w:val="32"/>
              </w:rPr>
              <w:t xml:space="preserve"> 201</w:t>
            </w:r>
            <w:r w:rsidR="004253D4">
              <w:rPr>
                <w:b/>
                <w:sz w:val="32"/>
              </w:rPr>
              <w:t>7</w:t>
            </w:r>
          </w:p>
        </w:tc>
        <w:tc>
          <w:tcPr>
            <w:tcW w:w="2946" w:type="dxa"/>
          </w:tcPr>
          <w:p w:rsidR="00904A8D" w:rsidRDefault="00904A8D">
            <w:pPr>
              <w:pStyle w:val="Header"/>
              <w:tabs>
                <w:tab w:val="clear" w:pos="4153"/>
                <w:tab w:val="clear" w:pos="8306"/>
              </w:tabs>
              <w:spacing w:before="120"/>
              <w:rPr>
                <w:sz w:val="40"/>
                <w:szCs w:val="40"/>
              </w:rPr>
            </w:pPr>
            <w:r>
              <w:t xml:space="preserve">Item </w:t>
            </w:r>
            <w:r w:rsidR="00DB5E20">
              <w:rPr>
                <w:sz w:val="40"/>
                <w:szCs w:val="40"/>
              </w:rPr>
              <w:t xml:space="preserve">   </w:t>
            </w:r>
          </w:p>
          <w:p w:rsidR="002A7BB9" w:rsidRDefault="00674A87" w:rsidP="002A7BB9">
            <w:pPr>
              <w:pStyle w:val="Header"/>
              <w:tabs>
                <w:tab w:val="clear" w:pos="4153"/>
                <w:tab w:val="clear" w:pos="8306"/>
              </w:tabs>
              <w:spacing w:before="120"/>
              <w:jc w:val="center"/>
              <w:rPr>
                <w:sz w:val="40"/>
                <w:szCs w:val="40"/>
              </w:rPr>
            </w:pPr>
            <w:r>
              <w:rPr>
                <w:sz w:val="40"/>
                <w:szCs w:val="40"/>
              </w:rPr>
              <w:t>6</w:t>
            </w:r>
            <w:bookmarkStart w:id="0" w:name="_GoBack"/>
            <w:bookmarkEnd w:id="0"/>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 xml:space="preserve">SUBJECT:  </w:t>
      </w:r>
      <w:r w:rsidR="004A5776">
        <w:rPr>
          <w:b/>
        </w:rPr>
        <w:t>Early Years</w:t>
      </w:r>
      <w:r w:rsidR="00AB0EFC">
        <w:rPr>
          <w:b/>
        </w:rPr>
        <w:t xml:space="preserve"> Block including EY</w:t>
      </w:r>
      <w:r w:rsidR="004A5776">
        <w:rPr>
          <w:b/>
        </w:rPr>
        <w:t xml:space="preserve"> Single F</w:t>
      </w:r>
      <w:r w:rsidR="00BE5714">
        <w:rPr>
          <w:b/>
        </w:rPr>
        <w:t xml:space="preserve">unding </w:t>
      </w:r>
      <w:r w:rsidR="004A5776">
        <w:rPr>
          <w:b/>
        </w:rPr>
        <w:t>F</w:t>
      </w:r>
      <w:r w:rsidR="004253D4">
        <w:rPr>
          <w:b/>
        </w:rPr>
        <w:t>ormula 2017</w:t>
      </w:r>
      <w:r w:rsidR="00904A8D">
        <w:rPr>
          <w:b/>
        </w:rPr>
        <w:t>/1</w:t>
      </w:r>
      <w:r w:rsidR="004253D4">
        <w:rPr>
          <w:b/>
        </w:rPr>
        <w:t>8</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 xml:space="preserve">LEAD OFFICER: </w:t>
      </w:r>
      <w:r w:rsidR="00B65FC7">
        <w:rPr>
          <w:b/>
        </w:rPr>
        <w:t>Allison Jones/</w:t>
      </w:r>
      <w:r>
        <w:rPr>
          <w:b/>
        </w:rPr>
        <w:t>Marius Karsten</w:t>
      </w:r>
      <w:r w:rsidR="00744C7F">
        <w:rPr>
          <w:b/>
        </w:rPr>
        <w:t>-Strydom</w:t>
      </w:r>
      <w:r>
        <w:rPr>
          <w:bCs/>
        </w:rPr>
        <w:t>,</w:t>
      </w:r>
      <w:r>
        <w:t xml:space="preserve"> Children, Schools and Families Finance</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DB5E20" w:rsidP="00DB5E20">
      <w:pPr>
        <w:pStyle w:val="Header"/>
        <w:tabs>
          <w:tab w:val="clear" w:pos="4153"/>
          <w:tab w:val="clear" w:pos="8306"/>
        </w:tabs>
        <w:rPr>
          <w:b/>
        </w:rPr>
      </w:pPr>
    </w:p>
    <w:p w:rsidR="007F1509" w:rsidRDefault="007F1509" w:rsidP="007F1509">
      <w:pPr>
        <w:pStyle w:val="Header"/>
        <w:numPr>
          <w:ilvl w:val="0"/>
          <w:numId w:val="4"/>
        </w:numPr>
        <w:tabs>
          <w:tab w:val="clear" w:pos="4153"/>
          <w:tab w:val="clear" w:pos="8306"/>
        </w:tabs>
        <w:rPr>
          <w:b/>
        </w:rPr>
      </w:pPr>
      <w:r>
        <w:rPr>
          <w:b/>
        </w:rPr>
        <w:t>Notes the Early Years Single Fun</w:t>
      </w:r>
      <w:r w:rsidR="004253D4">
        <w:rPr>
          <w:b/>
        </w:rPr>
        <w:t>ding Formula allocation for 2017/18</w:t>
      </w:r>
      <w:r w:rsidR="00E61A46">
        <w:rPr>
          <w:b/>
        </w:rPr>
        <w:t xml:space="preserve"> </w:t>
      </w:r>
      <w:r>
        <w:rPr>
          <w:b/>
        </w:rPr>
        <w:t>and provides comments for LA consideration.</w:t>
      </w:r>
    </w:p>
    <w:p w:rsidR="0068731D" w:rsidRPr="0068731D" w:rsidRDefault="0068731D" w:rsidP="0068731D">
      <w:pPr>
        <w:pStyle w:val="Header"/>
        <w:numPr>
          <w:ilvl w:val="0"/>
          <w:numId w:val="4"/>
        </w:numPr>
        <w:tabs>
          <w:tab w:val="clear" w:pos="4153"/>
          <w:tab w:val="clear" w:pos="8306"/>
        </w:tabs>
        <w:rPr>
          <w:b/>
        </w:rPr>
      </w:pPr>
      <w:r w:rsidRPr="0068731D">
        <w:rPr>
          <w:b/>
        </w:rPr>
        <w:t>Schools Forum approves the continuation of the centrally</w:t>
      </w:r>
      <w:r>
        <w:rPr>
          <w:b/>
        </w:rPr>
        <w:t xml:space="preserve"> held fund</w:t>
      </w:r>
      <w:r w:rsidR="0099276E">
        <w:rPr>
          <w:b/>
        </w:rPr>
        <w:t>ing as detailed in paragraph 2.5</w:t>
      </w:r>
      <w:r w:rsidRPr="0068731D">
        <w:rPr>
          <w:b/>
        </w:rPr>
        <w:t xml:space="preserve"> </w:t>
      </w:r>
      <w:r>
        <w:rPr>
          <w:b/>
        </w:rPr>
        <w:t>of</w:t>
      </w:r>
      <w:r w:rsidRPr="0068731D">
        <w:rPr>
          <w:b/>
        </w:rPr>
        <w:t xml:space="preserve"> this report.</w:t>
      </w:r>
    </w:p>
    <w:p w:rsidR="00904A8D" w:rsidRDefault="00904A8D">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7F1509" w:rsidRDefault="00164C7E" w:rsidP="00C3413F">
      <w:pPr>
        <w:pStyle w:val="BodyTextIndent3"/>
        <w:numPr>
          <w:ilvl w:val="1"/>
          <w:numId w:val="3"/>
        </w:numPr>
        <w:ind w:left="709" w:hanging="709"/>
        <w:jc w:val="both"/>
        <w:rPr>
          <w:rFonts w:cs="Times New Roman"/>
          <w:sz w:val="24"/>
          <w:szCs w:val="24"/>
        </w:rPr>
      </w:pPr>
      <w:r>
        <w:rPr>
          <w:rFonts w:cs="Times New Roman"/>
          <w:sz w:val="24"/>
          <w:szCs w:val="24"/>
        </w:rPr>
        <w:t>The Government announced the Dedicate</w:t>
      </w:r>
      <w:r w:rsidR="004253D4">
        <w:rPr>
          <w:rFonts w:cs="Times New Roman"/>
          <w:sz w:val="24"/>
          <w:szCs w:val="24"/>
        </w:rPr>
        <w:t xml:space="preserve">d Schools Grant allocation on </w:t>
      </w:r>
      <w:r w:rsidR="002D6468">
        <w:rPr>
          <w:rFonts w:cs="Times New Roman"/>
          <w:sz w:val="24"/>
          <w:szCs w:val="24"/>
        </w:rPr>
        <w:t>20</w:t>
      </w:r>
      <w:r w:rsidR="002D6468" w:rsidRPr="004253D4">
        <w:rPr>
          <w:rFonts w:cs="Times New Roman"/>
          <w:sz w:val="24"/>
          <w:szCs w:val="24"/>
          <w:vertAlign w:val="superscript"/>
        </w:rPr>
        <w:t>th</w:t>
      </w:r>
      <w:r w:rsidR="002D6468">
        <w:rPr>
          <w:rFonts w:cs="Times New Roman"/>
          <w:sz w:val="24"/>
          <w:szCs w:val="24"/>
        </w:rPr>
        <w:t xml:space="preserve"> December</w:t>
      </w:r>
      <w:r w:rsidR="004253D4">
        <w:rPr>
          <w:rFonts w:cs="Times New Roman"/>
          <w:sz w:val="24"/>
          <w:szCs w:val="24"/>
        </w:rPr>
        <w:t xml:space="preserve"> 2016</w:t>
      </w:r>
      <w:r>
        <w:rPr>
          <w:rFonts w:cs="Times New Roman"/>
          <w:sz w:val="24"/>
          <w:szCs w:val="24"/>
        </w:rPr>
        <w:t>. Merton’s allocation split over the three blocks is as follows</w:t>
      </w:r>
      <w:r w:rsidR="00BE5714">
        <w:rPr>
          <w:rFonts w:cs="Times New Roman"/>
          <w:sz w:val="24"/>
          <w:szCs w:val="24"/>
        </w:rPr>
        <w:t>:</w:t>
      </w: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18"/>
        <w:gridCol w:w="1417"/>
      </w:tblGrid>
      <w:tr w:rsidR="004253D4" w:rsidRPr="00A36F4B" w:rsidTr="00AA2D3C">
        <w:tc>
          <w:tcPr>
            <w:tcW w:w="5517" w:type="dxa"/>
            <w:shd w:val="clear" w:color="auto" w:fill="00B050"/>
          </w:tcPr>
          <w:p w:rsidR="004253D4" w:rsidRPr="00A36F4B" w:rsidRDefault="004253D4" w:rsidP="00AA2D3C">
            <w:pPr>
              <w:pStyle w:val="BodyTextIndent3"/>
              <w:ind w:left="0"/>
              <w:jc w:val="both"/>
              <w:rPr>
                <w:b/>
                <w:color w:val="FFFFFF" w:themeColor="background1"/>
                <w:sz w:val="24"/>
                <w:szCs w:val="24"/>
              </w:rPr>
            </w:pPr>
          </w:p>
          <w:p w:rsidR="004253D4" w:rsidRPr="00A36F4B" w:rsidRDefault="004253D4" w:rsidP="00AA2D3C">
            <w:pPr>
              <w:pStyle w:val="BodyTextIndent3"/>
              <w:ind w:left="0"/>
              <w:jc w:val="both"/>
              <w:rPr>
                <w:b/>
                <w:color w:val="FFFFFF" w:themeColor="background1"/>
                <w:sz w:val="24"/>
                <w:szCs w:val="24"/>
              </w:rPr>
            </w:pPr>
            <w:r w:rsidRPr="00A36F4B">
              <w:rPr>
                <w:b/>
                <w:color w:val="FFFFFF" w:themeColor="background1"/>
                <w:sz w:val="24"/>
                <w:szCs w:val="24"/>
              </w:rPr>
              <w:t>Description</w:t>
            </w:r>
          </w:p>
        </w:tc>
        <w:tc>
          <w:tcPr>
            <w:tcW w:w="1418" w:type="dxa"/>
            <w:shd w:val="clear" w:color="auto" w:fill="00B050"/>
          </w:tcPr>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2017/18</w:t>
            </w:r>
          </w:p>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£000</w:t>
            </w:r>
          </w:p>
        </w:tc>
        <w:tc>
          <w:tcPr>
            <w:tcW w:w="1417" w:type="dxa"/>
            <w:shd w:val="clear" w:color="auto" w:fill="00B050"/>
          </w:tcPr>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2016/17</w:t>
            </w:r>
          </w:p>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£000</w:t>
            </w:r>
          </w:p>
        </w:tc>
      </w:tr>
      <w:tr w:rsidR="004253D4" w:rsidTr="00AA2D3C">
        <w:tc>
          <w:tcPr>
            <w:tcW w:w="5517" w:type="dxa"/>
            <w:shd w:val="clear" w:color="auto" w:fill="auto"/>
          </w:tcPr>
          <w:p w:rsidR="004253D4" w:rsidRPr="00010E9D" w:rsidRDefault="004253D4" w:rsidP="00AA2D3C">
            <w:pPr>
              <w:pStyle w:val="BodyTextIndent3"/>
              <w:ind w:left="0"/>
              <w:jc w:val="both"/>
              <w:rPr>
                <w:sz w:val="24"/>
                <w:szCs w:val="24"/>
              </w:rPr>
            </w:pPr>
            <w:r w:rsidRPr="00010E9D">
              <w:rPr>
                <w:sz w:val="24"/>
                <w:szCs w:val="24"/>
              </w:rPr>
              <w:t>Schools Block</w:t>
            </w:r>
          </w:p>
        </w:tc>
        <w:tc>
          <w:tcPr>
            <w:tcW w:w="1418" w:type="dxa"/>
          </w:tcPr>
          <w:p w:rsidR="004253D4" w:rsidRPr="00010E9D" w:rsidRDefault="004253D4" w:rsidP="00AA2D3C">
            <w:pPr>
              <w:pStyle w:val="BodyTextIndent3"/>
              <w:ind w:left="0"/>
              <w:jc w:val="right"/>
              <w:rPr>
                <w:sz w:val="24"/>
                <w:szCs w:val="24"/>
              </w:rPr>
            </w:pPr>
            <w:r>
              <w:rPr>
                <w:sz w:val="24"/>
                <w:szCs w:val="24"/>
              </w:rPr>
              <w:t>116,421</w:t>
            </w:r>
          </w:p>
        </w:tc>
        <w:tc>
          <w:tcPr>
            <w:tcW w:w="1417" w:type="dxa"/>
          </w:tcPr>
          <w:p w:rsidR="004253D4" w:rsidRPr="00010E9D" w:rsidRDefault="004253D4" w:rsidP="00AA2D3C">
            <w:pPr>
              <w:pStyle w:val="BodyTextIndent3"/>
              <w:ind w:left="0"/>
              <w:jc w:val="right"/>
              <w:rPr>
                <w:sz w:val="24"/>
                <w:szCs w:val="24"/>
              </w:rPr>
            </w:pPr>
            <w:r>
              <w:rPr>
                <w:sz w:val="24"/>
                <w:szCs w:val="24"/>
              </w:rPr>
              <w:t>119,026</w:t>
            </w:r>
          </w:p>
        </w:tc>
      </w:tr>
      <w:tr w:rsidR="004253D4" w:rsidTr="00AA2D3C">
        <w:tc>
          <w:tcPr>
            <w:tcW w:w="5517" w:type="dxa"/>
            <w:shd w:val="clear" w:color="auto" w:fill="auto"/>
          </w:tcPr>
          <w:p w:rsidR="004253D4" w:rsidRPr="00010E9D" w:rsidRDefault="004253D4" w:rsidP="00AA2D3C">
            <w:pPr>
              <w:pStyle w:val="BodyTextIndent3"/>
              <w:ind w:left="0"/>
              <w:jc w:val="both"/>
              <w:rPr>
                <w:sz w:val="24"/>
                <w:szCs w:val="24"/>
              </w:rPr>
            </w:pPr>
            <w:r w:rsidRPr="00010E9D">
              <w:rPr>
                <w:sz w:val="24"/>
                <w:szCs w:val="24"/>
              </w:rPr>
              <w:t>Early Years Block</w:t>
            </w:r>
          </w:p>
        </w:tc>
        <w:tc>
          <w:tcPr>
            <w:tcW w:w="1418" w:type="dxa"/>
          </w:tcPr>
          <w:p w:rsidR="004253D4" w:rsidRPr="00010E9D" w:rsidRDefault="004253D4" w:rsidP="00AA2D3C">
            <w:pPr>
              <w:pStyle w:val="BodyTextIndent3"/>
              <w:ind w:left="0"/>
              <w:jc w:val="right"/>
              <w:rPr>
                <w:sz w:val="24"/>
                <w:szCs w:val="24"/>
              </w:rPr>
            </w:pPr>
            <w:r>
              <w:rPr>
                <w:sz w:val="24"/>
                <w:szCs w:val="24"/>
              </w:rPr>
              <w:t>15,061</w:t>
            </w:r>
          </w:p>
        </w:tc>
        <w:tc>
          <w:tcPr>
            <w:tcW w:w="1417" w:type="dxa"/>
          </w:tcPr>
          <w:p w:rsidR="004253D4" w:rsidRPr="00010E9D" w:rsidRDefault="004253D4" w:rsidP="00AA2D3C">
            <w:pPr>
              <w:pStyle w:val="BodyTextIndent3"/>
              <w:ind w:left="0"/>
              <w:jc w:val="right"/>
              <w:rPr>
                <w:sz w:val="24"/>
                <w:szCs w:val="24"/>
              </w:rPr>
            </w:pPr>
            <w:r>
              <w:rPr>
                <w:sz w:val="24"/>
                <w:szCs w:val="24"/>
              </w:rPr>
              <w:t>11,122</w:t>
            </w:r>
          </w:p>
        </w:tc>
      </w:tr>
      <w:tr w:rsidR="004253D4" w:rsidTr="00AA2D3C">
        <w:tc>
          <w:tcPr>
            <w:tcW w:w="5517" w:type="dxa"/>
            <w:tcBorders>
              <w:bottom w:val="single" w:sz="4" w:space="0" w:color="auto"/>
            </w:tcBorders>
            <w:shd w:val="clear" w:color="auto" w:fill="auto"/>
          </w:tcPr>
          <w:p w:rsidR="004253D4" w:rsidRPr="00010E9D" w:rsidRDefault="004253D4" w:rsidP="00AA2D3C">
            <w:pPr>
              <w:pStyle w:val="BodyTextIndent3"/>
              <w:ind w:left="0"/>
              <w:jc w:val="both"/>
              <w:rPr>
                <w:sz w:val="24"/>
                <w:szCs w:val="24"/>
              </w:rPr>
            </w:pPr>
            <w:r w:rsidRPr="00010E9D">
              <w:rPr>
                <w:sz w:val="24"/>
                <w:szCs w:val="24"/>
              </w:rPr>
              <w:t>High Needs Block</w:t>
            </w:r>
          </w:p>
        </w:tc>
        <w:tc>
          <w:tcPr>
            <w:tcW w:w="1418" w:type="dxa"/>
            <w:tcBorders>
              <w:bottom w:val="single" w:sz="4" w:space="0" w:color="auto"/>
            </w:tcBorders>
          </w:tcPr>
          <w:p w:rsidR="004253D4" w:rsidRPr="00010E9D" w:rsidRDefault="004253D4" w:rsidP="00AA2D3C">
            <w:pPr>
              <w:pStyle w:val="BodyTextIndent3"/>
              <w:ind w:left="0"/>
              <w:jc w:val="right"/>
              <w:rPr>
                <w:sz w:val="24"/>
                <w:szCs w:val="24"/>
              </w:rPr>
            </w:pPr>
            <w:r>
              <w:rPr>
                <w:sz w:val="24"/>
                <w:szCs w:val="24"/>
              </w:rPr>
              <w:t>31,632</w:t>
            </w:r>
          </w:p>
        </w:tc>
        <w:tc>
          <w:tcPr>
            <w:tcW w:w="1417" w:type="dxa"/>
            <w:tcBorders>
              <w:bottom w:val="single" w:sz="4" w:space="0" w:color="auto"/>
            </w:tcBorders>
          </w:tcPr>
          <w:p w:rsidR="004253D4" w:rsidRPr="00010E9D" w:rsidRDefault="004253D4" w:rsidP="00AA2D3C">
            <w:pPr>
              <w:pStyle w:val="BodyTextIndent3"/>
              <w:ind w:left="0"/>
              <w:jc w:val="right"/>
              <w:rPr>
                <w:sz w:val="24"/>
                <w:szCs w:val="24"/>
              </w:rPr>
            </w:pPr>
            <w:r>
              <w:rPr>
                <w:sz w:val="24"/>
                <w:szCs w:val="24"/>
              </w:rPr>
              <w:t>26,833</w:t>
            </w:r>
          </w:p>
        </w:tc>
      </w:tr>
      <w:tr w:rsidR="004253D4" w:rsidRPr="00A36F4B" w:rsidTr="00AA2D3C">
        <w:tc>
          <w:tcPr>
            <w:tcW w:w="5517" w:type="dxa"/>
            <w:shd w:val="clear" w:color="auto" w:fill="00B050"/>
          </w:tcPr>
          <w:p w:rsidR="004253D4" w:rsidRPr="00A36F4B" w:rsidRDefault="004253D4" w:rsidP="00AA2D3C">
            <w:pPr>
              <w:pStyle w:val="BodyTextIndent3"/>
              <w:ind w:left="0"/>
              <w:jc w:val="both"/>
              <w:rPr>
                <w:b/>
                <w:color w:val="FFFFFF" w:themeColor="background1"/>
                <w:sz w:val="24"/>
                <w:szCs w:val="24"/>
              </w:rPr>
            </w:pPr>
            <w:r w:rsidRPr="00A36F4B">
              <w:rPr>
                <w:b/>
                <w:color w:val="FFFFFF" w:themeColor="background1"/>
                <w:sz w:val="24"/>
                <w:szCs w:val="24"/>
              </w:rPr>
              <w:t>Total as at Schools Forum meeting</w:t>
            </w:r>
          </w:p>
        </w:tc>
        <w:tc>
          <w:tcPr>
            <w:tcW w:w="1418" w:type="dxa"/>
            <w:shd w:val="clear" w:color="auto" w:fill="00B050"/>
          </w:tcPr>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163,114</w:t>
            </w:r>
          </w:p>
        </w:tc>
        <w:tc>
          <w:tcPr>
            <w:tcW w:w="1417" w:type="dxa"/>
            <w:shd w:val="clear" w:color="auto" w:fill="00B050"/>
          </w:tcPr>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156,981</w:t>
            </w:r>
          </w:p>
        </w:tc>
      </w:tr>
      <w:tr w:rsidR="004253D4" w:rsidTr="00AA2D3C">
        <w:tc>
          <w:tcPr>
            <w:tcW w:w="5517" w:type="dxa"/>
            <w:tcBorders>
              <w:bottom w:val="single" w:sz="4" w:space="0" w:color="auto"/>
            </w:tcBorders>
            <w:shd w:val="clear" w:color="auto" w:fill="auto"/>
          </w:tcPr>
          <w:p w:rsidR="004253D4" w:rsidRPr="00E958A6" w:rsidRDefault="004253D4" w:rsidP="00AA2D3C">
            <w:pPr>
              <w:pStyle w:val="BodyTextIndent3"/>
              <w:ind w:left="0"/>
              <w:jc w:val="both"/>
              <w:rPr>
                <w:sz w:val="24"/>
                <w:szCs w:val="24"/>
              </w:rPr>
            </w:pPr>
            <w:r w:rsidRPr="00E958A6">
              <w:rPr>
                <w:sz w:val="24"/>
                <w:szCs w:val="24"/>
              </w:rPr>
              <w:t>Academy recoupment</w:t>
            </w:r>
          </w:p>
        </w:tc>
        <w:tc>
          <w:tcPr>
            <w:tcW w:w="1418" w:type="dxa"/>
            <w:tcBorders>
              <w:bottom w:val="single" w:sz="4" w:space="0" w:color="auto"/>
            </w:tcBorders>
          </w:tcPr>
          <w:p w:rsidR="004253D4" w:rsidRPr="00E958A6" w:rsidRDefault="004253D4" w:rsidP="00AA2D3C">
            <w:pPr>
              <w:pStyle w:val="BodyTextIndent3"/>
              <w:ind w:left="0"/>
              <w:jc w:val="right"/>
              <w:rPr>
                <w:sz w:val="24"/>
                <w:szCs w:val="24"/>
              </w:rPr>
            </w:pPr>
            <w:r>
              <w:rPr>
                <w:sz w:val="24"/>
                <w:szCs w:val="24"/>
              </w:rPr>
              <w:t>(18,263)</w:t>
            </w:r>
          </w:p>
        </w:tc>
        <w:tc>
          <w:tcPr>
            <w:tcW w:w="1417" w:type="dxa"/>
            <w:tcBorders>
              <w:bottom w:val="single" w:sz="4" w:space="0" w:color="auto"/>
            </w:tcBorders>
          </w:tcPr>
          <w:p w:rsidR="004253D4" w:rsidRPr="00E958A6" w:rsidRDefault="004253D4" w:rsidP="00AA2D3C">
            <w:pPr>
              <w:pStyle w:val="BodyTextIndent3"/>
              <w:ind w:left="0"/>
              <w:jc w:val="right"/>
              <w:rPr>
                <w:sz w:val="24"/>
                <w:szCs w:val="24"/>
              </w:rPr>
            </w:pPr>
            <w:r>
              <w:rPr>
                <w:sz w:val="24"/>
                <w:szCs w:val="24"/>
              </w:rPr>
              <w:t>(17,272)</w:t>
            </w:r>
          </w:p>
        </w:tc>
      </w:tr>
      <w:tr w:rsidR="004253D4" w:rsidRPr="00A36F4B" w:rsidTr="00AA2D3C">
        <w:tc>
          <w:tcPr>
            <w:tcW w:w="5517" w:type="dxa"/>
            <w:shd w:val="clear" w:color="auto" w:fill="00B050"/>
          </w:tcPr>
          <w:p w:rsidR="004253D4" w:rsidRPr="00A36F4B" w:rsidRDefault="004253D4" w:rsidP="00AA2D3C">
            <w:pPr>
              <w:pStyle w:val="BodyTextIndent3"/>
              <w:ind w:left="0"/>
              <w:jc w:val="both"/>
              <w:rPr>
                <w:b/>
                <w:color w:val="FFFFFF" w:themeColor="background1"/>
                <w:sz w:val="24"/>
                <w:szCs w:val="24"/>
              </w:rPr>
            </w:pPr>
            <w:r w:rsidRPr="00A36F4B">
              <w:rPr>
                <w:b/>
                <w:color w:val="FFFFFF" w:themeColor="background1"/>
                <w:sz w:val="24"/>
                <w:szCs w:val="24"/>
              </w:rPr>
              <w:t>Final allocation for the year</w:t>
            </w:r>
          </w:p>
        </w:tc>
        <w:tc>
          <w:tcPr>
            <w:tcW w:w="1418" w:type="dxa"/>
            <w:shd w:val="clear" w:color="auto" w:fill="00B050"/>
          </w:tcPr>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144,851</w:t>
            </w:r>
          </w:p>
        </w:tc>
        <w:tc>
          <w:tcPr>
            <w:tcW w:w="1417" w:type="dxa"/>
            <w:shd w:val="clear" w:color="auto" w:fill="00B050"/>
          </w:tcPr>
          <w:p w:rsidR="004253D4" w:rsidRPr="00A36F4B" w:rsidRDefault="004253D4" w:rsidP="00AA2D3C">
            <w:pPr>
              <w:pStyle w:val="BodyTextIndent3"/>
              <w:ind w:left="0"/>
              <w:jc w:val="right"/>
              <w:rPr>
                <w:b/>
                <w:color w:val="FFFFFF" w:themeColor="background1"/>
                <w:sz w:val="24"/>
                <w:szCs w:val="24"/>
              </w:rPr>
            </w:pPr>
            <w:r w:rsidRPr="00A36F4B">
              <w:rPr>
                <w:b/>
                <w:color w:val="FFFFFF" w:themeColor="background1"/>
                <w:sz w:val="24"/>
                <w:szCs w:val="24"/>
              </w:rPr>
              <w:t>139,709</w:t>
            </w:r>
          </w:p>
        </w:tc>
      </w:tr>
    </w:tbl>
    <w:p w:rsidR="004253D4" w:rsidRDefault="004253D4" w:rsidP="00E61A46">
      <w:pPr>
        <w:pStyle w:val="BodyTextIndent3"/>
        <w:ind w:left="360"/>
        <w:jc w:val="both"/>
        <w:rPr>
          <w:rFonts w:cs="Times New Roman"/>
          <w:sz w:val="24"/>
          <w:szCs w:val="24"/>
        </w:rPr>
      </w:pPr>
    </w:p>
    <w:p w:rsidR="00164C7E" w:rsidRDefault="00164C7E" w:rsidP="00974BB9">
      <w:pPr>
        <w:pStyle w:val="BodyText"/>
        <w:ind w:left="720" w:hanging="720"/>
        <w:rPr>
          <w:rFonts w:ascii="Arial" w:hAnsi="Arial"/>
        </w:rPr>
      </w:pPr>
      <w:r>
        <w:rPr>
          <w:rFonts w:ascii="Arial" w:hAnsi="Arial"/>
        </w:rPr>
        <w:t>1.3</w:t>
      </w:r>
      <w:r>
        <w:rPr>
          <w:rFonts w:ascii="Arial" w:hAnsi="Arial"/>
        </w:rPr>
        <w:tab/>
        <w:t xml:space="preserve">This report will focus on the Early Years Block and the allocation of this funding to Mainstream Nurseries, Private, Voluntary and Independent Settings (PVIs) and </w:t>
      </w:r>
      <w:r w:rsidR="004253D4">
        <w:rPr>
          <w:rFonts w:ascii="Arial" w:hAnsi="Arial"/>
        </w:rPr>
        <w:t>Child minders</w:t>
      </w:r>
      <w:r>
        <w:rPr>
          <w:rFonts w:ascii="Arial" w:hAnsi="Arial"/>
        </w:rPr>
        <w:t xml:space="preserve"> through the Single Funding Formula.</w:t>
      </w:r>
    </w:p>
    <w:p w:rsidR="00904A8D" w:rsidRDefault="00904A8D">
      <w:pPr>
        <w:pStyle w:val="Header"/>
        <w:numPr>
          <w:ilvl w:val="0"/>
          <w:numId w:val="2"/>
        </w:numPr>
        <w:tabs>
          <w:tab w:val="clear" w:pos="720"/>
          <w:tab w:val="clear" w:pos="4153"/>
          <w:tab w:val="clear" w:pos="8306"/>
        </w:tabs>
        <w:ind w:hanging="720"/>
        <w:rPr>
          <w:b/>
          <w:sz w:val="28"/>
        </w:rPr>
      </w:pPr>
      <w:r>
        <w:rPr>
          <w:b/>
          <w:sz w:val="28"/>
        </w:rPr>
        <w:t>Details</w:t>
      </w:r>
    </w:p>
    <w:p w:rsidR="00904A8D" w:rsidRDefault="00904A8D">
      <w:pPr>
        <w:pStyle w:val="Header"/>
        <w:tabs>
          <w:tab w:val="clear" w:pos="4153"/>
          <w:tab w:val="clear" w:pos="8306"/>
        </w:tabs>
        <w:rPr>
          <w:b/>
          <w:sz w:val="28"/>
        </w:rPr>
      </w:pPr>
    </w:p>
    <w:p w:rsidR="00E61A46" w:rsidRPr="00FF3903" w:rsidRDefault="00BD3873" w:rsidP="00AE2C35">
      <w:pPr>
        <w:pStyle w:val="Header"/>
        <w:numPr>
          <w:ilvl w:val="1"/>
          <w:numId w:val="2"/>
        </w:numPr>
        <w:tabs>
          <w:tab w:val="clear" w:pos="4153"/>
          <w:tab w:val="clear" w:pos="8306"/>
        </w:tabs>
        <w:ind w:hanging="720"/>
      </w:pPr>
      <w:r w:rsidRPr="00FF3903">
        <w:rPr>
          <w:szCs w:val="24"/>
        </w:rPr>
        <w:t xml:space="preserve">The </w:t>
      </w:r>
      <w:r w:rsidR="006C0C1F" w:rsidRPr="00FF3903">
        <w:rPr>
          <w:szCs w:val="24"/>
        </w:rPr>
        <w:t>Early Years</w:t>
      </w:r>
      <w:r w:rsidRPr="00FF3903">
        <w:rPr>
          <w:szCs w:val="24"/>
        </w:rPr>
        <w:t xml:space="preserve"> Block allocation is</w:t>
      </w:r>
      <w:r w:rsidR="00410D3D" w:rsidRPr="00FF3903">
        <w:rPr>
          <w:szCs w:val="24"/>
        </w:rPr>
        <w:t xml:space="preserve"> split into the following areas</w:t>
      </w:r>
      <w:r w:rsidRPr="00FF3903">
        <w:rPr>
          <w:szCs w:val="24"/>
        </w:rPr>
        <w:t>:</w:t>
      </w: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1417"/>
        <w:gridCol w:w="1417"/>
      </w:tblGrid>
      <w:tr w:rsidR="00AE2C35" w:rsidRPr="00AE2C35" w:rsidTr="00AE2C35">
        <w:tc>
          <w:tcPr>
            <w:tcW w:w="5376" w:type="dxa"/>
            <w:shd w:val="clear" w:color="auto" w:fill="00B050"/>
          </w:tcPr>
          <w:p w:rsidR="00DE121B" w:rsidRPr="00AE2C35" w:rsidRDefault="00DE121B" w:rsidP="00010E9D">
            <w:pPr>
              <w:pStyle w:val="BodyTextIndent3"/>
              <w:ind w:left="0"/>
              <w:jc w:val="both"/>
              <w:rPr>
                <w:b/>
                <w:color w:val="FFFFFF" w:themeColor="background1"/>
                <w:sz w:val="24"/>
                <w:szCs w:val="24"/>
              </w:rPr>
            </w:pPr>
          </w:p>
          <w:p w:rsidR="00DE121B" w:rsidRPr="00AE2C35" w:rsidRDefault="00DE121B" w:rsidP="00010E9D">
            <w:pPr>
              <w:pStyle w:val="BodyTextIndent3"/>
              <w:ind w:left="0"/>
              <w:jc w:val="both"/>
              <w:rPr>
                <w:b/>
                <w:color w:val="FFFFFF" w:themeColor="background1"/>
                <w:sz w:val="24"/>
                <w:szCs w:val="24"/>
              </w:rPr>
            </w:pPr>
            <w:r w:rsidRPr="00AE2C35">
              <w:rPr>
                <w:b/>
                <w:color w:val="FFFFFF" w:themeColor="background1"/>
                <w:sz w:val="24"/>
                <w:szCs w:val="24"/>
              </w:rPr>
              <w:t>Description</w:t>
            </w:r>
          </w:p>
        </w:tc>
        <w:tc>
          <w:tcPr>
            <w:tcW w:w="1417" w:type="dxa"/>
            <w:shd w:val="clear" w:color="auto" w:fill="00B050"/>
          </w:tcPr>
          <w:p w:rsidR="00DE121B" w:rsidRPr="00AE2C35" w:rsidRDefault="00DE121B" w:rsidP="001C3BE0">
            <w:pPr>
              <w:pStyle w:val="BodyTextIndent3"/>
              <w:ind w:left="0"/>
              <w:jc w:val="right"/>
              <w:rPr>
                <w:b/>
                <w:color w:val="FFFFFF" w:themeColor="background1"/>
                <w:sz w:val="24"/>
                <w:szCs w:val="24"/>
              </w:rPr>
            </w:pPr>
            <w:r w:rsidRPr="00AE2C35">
              <w:rPr>
                <w:b/>
                <w:color w:val="FFFFFF" w:themeColor="background1"/>
                <w:sz w:val="24"/>
                <w:szCs w:val="24"/>
              </w:rPr>
              <w:t>2017/18</w:t>
            </w:r>
          </w:p>
          <w:p w:rsidR="00DE121B" w:rsidRPr="00AE2C35" w:rsidRDefault="00DE121B" w:rsidP="001C3BE0">
            <w:pPr>
              <w:pStyle w:val="BodyTextIndent3"/>
              <w:ind w:left="0"/>
              <w:jc w:val="right"/>
              <w:rPr>
                <w:b/>
                <w:color w:val="FFFFFF" w:themeColor="background1"/>
                <w:sz w:val="24"/>
                <w:szCs w:val="24"/>
              </w:rPr>
            </w:pPr>
            <w:r w:rsidRPr="00AE2C35">
              <w:rPr>
                <w:b/>
                <w:color w:val="FFFFFF" w:themeColor="background1"/>
                <w:sz w:val="24"/>
                <w:szCs w:val="24"/>
              </w:rPr>
              <w:t>£000</w:t>
            </w:r>
          </w:p>
        </w:tc>
        <w:tc>
          <w:tcPr>
            <w:tcW w:w="1417" w:type="dxa"/>
            <w:shd w:val="clear" w:color="auto" w:fill="00B050"/>
          </w:tcPr>
          <w:p w:rsidR="00DE121B" w:rsidRPr="00AE2C35" w:rsidRDefault="00DE121B" w:rsidP="00CE53DB">
            <w:pPr>
              <w:pStyle w:val="BodyTextIndent3"/>
              <w:ind w:left="0"/>
              <w:jc w:val="right"/>
              <w:rPr>
                <w:b/>
                <w:color w:val="FFFFFF" w:themeColor="background1"/>
                <w:sz w:val="24"/>
                <w:szCs w:val="24"/>
              </w:rPr>
            </w:pPr>
            <w:r w:rsidRPr="00AE2C35">
              <w:rPr>
                <w:b/>
                <w:color w:val="FFFFFF" w:themeColor="background1"/>
                <w:sz w:val="24"/>
                <w:szCs w:val="24"/>
              </w:rPr>
              <w:t>2016/17</w:t>
            </w:r>
          </w:p>
          <w:p w:rsidR="00DE121B" w:rsidRPr="00AE2C35" w:rsidRDefault="00DE121B" w:rsidP="00CE53DB">
            <w:pPr>
              <w:pStyle w:val="BodyTextIndent3"/>
              <w:ind w:left="0"/>
              <w:jc w:val="right"/>
              <w:rPr>
                <w:b/>
                <w:color w:val="FFFFFF" w:themeColor="background1"/>
                <w:sz w:val="24"/>
                <w:szCs w:val="24"/>
              </w:rPr>
            </w:pPr>
            <w:r w:rsidRPr="00AE2C35">
              <w:rPr>
                <w:b/>
                <w:color w:val="FFFFFF" w:themeColor="background1"/>
                <w:sz w:val="24"/>
                <w:szCs w:val="24"/>
              </w:rPr>
              <w:t>£000</w:t>
            </w:r>
          </w:p>
        </w:tc>
      </w:tr>
      <w:tr w:rsidR="00DE121B" w:rsidTr="00DE121B">
        <w:tc>
          <w:tcPr>
            <w:tcW w:w="5376" w:type="dxa"/>
            <w:shd w:val="clear" w:color="auto" w:fill="auto"/>
          </w:tcPr>
          <w:p w:rsidR="00DE121B" w:rsidRPr="00010E9D" w:rsidRDefault="00DE121B" w:rsidP="00DE121B">
            <w:pPr>
              <w:pStyle w:val="BodyTextIndent3"/>
              <w:ind w:left="0"/>
              <w:jc w:val="both"/>
              <w:rPr>
                <w:sz w:val="24"/>
                <w:szCs w:val="24"/>
              </w:rPr>
            </w:pPr>
            <w:r>
              <w:rPr>
                <w:sz w:val="24"/>
                <w:szCs w:val="24"/>
              </w:rPr>
              <w:t>3&amp;4 YO universal funding- maintained schools</w:t>
            </w:r>
          </w:p>
        </w:tc>
        <w:tc>
          <w:tcPr>
            <w:tcW w:w="1417" w:type="dxa"/>
          </w:tcPr>
          <w:p w:rsidR="00DE121B" w:rsidRPr="00010E9D" w:rsidRDefault="00DE121B" w:rsidP="00DE121B">
            <w:pPr>
              <w:pStyle w:val="BodyTextIndent3"/>
              <w:ind w:left="0"/>
              <w:jc w:val="right"/>
              <w:rPr>
                <w:sz w:val="24"/>
                <w:szCs w:val="24"/>
              </w:rPr>
            </w:pPr>
            <w:r>
              <w:rPr>
                <w:sz w:val="24"/>
                <w:szCs w:val="24"/>
              </w:rPr>
              <w:t>6,624</w:t>
            </w:r>
          </w:p>
        </w:tc>
        <w:tc>
          <w:tcPr>
            <w:tcW w:w="1417" w:type="dxa"/>
          </w:tcPr>
          <w:p w:rsidR="00DE121B" w:rsidRPr="00010E9D" w:rsidRDefault="00DE121B" w:rsidP="00CE53DB">
            <w:pPr>
              <w:pStyle w:val="BodyTextIndent3"/>
              <w:ind w:left="0"/>
              <w:jc w:val="right"/>
              <w:rPr>
                <w:sz w:val="24"/>
                <w:szCs w:val="24"/>
              </w:rPr>
            </w:pPr>
            <w:r>
              <w:rPr>
                <w:sz w:val="24"/>
                <w:szCs w:val="24"/>
              </w:rPr>
              <w:t>5,7</w:t>
            </w:r>
            <w:r w:rsidR="00AE2C35">
              <w:rPr>
                <w:sz w:val="24"/>
                <w:szCs w:val="24"/>
              </w:rPr>
              <w:t>26</w:t>
            </w:r>
          </w:p>
        </w:tc>
      </w:tr>
      <w:tr w:rsidR="00DE121B" w:rsidTr="00DE121B">
        <w:tc>
          <w:tcPr>
            <w:tcW w:w="5376" w:type="dxa"/>
            <w:shd w:val="clear" w:color="auto" w:fill="auto"/>
          </w:tcPr>
          <w:p w:rsidR="00DE121B" w:rsidRPr="00010E9D" w:rsidRDefault="00DE121B" w:rsidP="00CE53DB">
            <w:pPr>
              <w:pStyle w:val="BodyTextIndent3"/>
              <w:ind w:left="0"/>
              <w:jc w:val="both"/>
              <w:rPr>
                <w:sz w:val="24"/>
                <w:szCs w:val="24"/>
              </w:rPr>
            </w:pPr>
            <w:r>
              <w:rPr>
                <w:sz w:val="24"/>
                <w:szCs w:val="24"/>
              </w:rPr>
              <w:t>3&amp;4 YO universal funding - PVIs</w:t>
            </w:r>
          </w:p>
        </w:tc>
        <w:tc>
          <w:tcPr>
            <w:tcW w:w="1417" w:type="dxa"/>
          </w:tcPr>
          <w:p w:rsidR="00DE121B" w:rsidRPr="00010E9D" w:rsidRDefault="00DE121B" w:rsidP="00CE53DB">
            <w:pPr>
              <w:pStyle w:val="BodyTextIndent3"/>
              <w:ind w:left="0"/>
              <w:jc w:val="right"/>
              <w:rPr>
                <w:sz w:val="24"/>
                <w:szCs w:val="24"/>
              </w:rPr>
            </w:pPr>
            <w:r>
              <w:rPr>
                <w:sz w:val="24"/>
                <w:szCs w:val="24"/>
              </w:rPr>
              <w:t>3,544</w:t>
            </w:r>
          </w:p>
        </w:tc>
        <w:tc>
          <w:tcPr>
            <w:tcW w:w="1417" w:type="dxa"/>
          </w:tcPr>
          <w:p w:rsidR="00DE121B" w:rsidRPr="00010E9D" w:rsidRDefault="00DE121B" w:rsidP="00CE53DB">
            <w:pPr>
              <w:pStyle w:val="BodyTextIndent3"/>
              <w:ind w:left="0"/>
              <w:jc w:val="right"/>
              <w:rPr>
                <w:sz w:val="24"/>
                <w:szCs w:val="24"/>
              </w:rPr>
            </w:pPr>
            <w:r>
              <w:rPr>
                <w:sz w:val="24"/>
                <w:szCs w:val="24"/>
              </w:rPr>
              <w:t>2,722</w:t>
            </w:r>
          </w:p>
        </w:tc>
      </w:tr>
      <w:tr w:rsidR="00DE121B" w:rsidTr="00DE121B">
        <w:tc>
          <w:tcPr>
            <w:tcW w:w="5376" w:type="dxa"/>
            <w:shd w:val="clear" w:color="auto" w:fill="auto"/>
          </w:tcPr>
          <w:p w:rsidR="00DE121B" w:rsidRPr="00010E9D" w:rsidRDefault="00DE121B" w:rsidP="00374AD2">
            <w:pPr>
              <w:pStyle w:val="BodyTextIndent3"/>
              <w:ind w:left="0"/>
              <w:jc w:val="both"/>
              <w:rPr>
                <w:sz w:val="24"/>
                <w:szCs w:val="24"/>
              </w:rPr>
            </w:pPr>
            <w:r>
              <w:rPr>
                <w:sz w:val="24"/>
                <w:szCs w:val="24"/>
              </w:rPr>
              <w:t>3&amp;4 YO working parents funding</w:t>
            </w:r>
          </w:p>
        </w:tc>
        <w:tc>
          <w:tcPr>
            <w:tcW w:w="1417" w:type="dxa"/>
          </w:tcPr>
          <w:p w:rsidR="00DE121B" w:rsidRPr="00010E9D" w:rsidRDefault="00DD6278" w:rsidP="00374AD2">
            <w:pPr>
              <w:pStyle w:val="BodyTextIndent3"/>
              <w:ind w:left="0"/>
              <w:jc w:val="right"/>
              <w:rPr>
                <w:sz w:val="24"/>
                <w:szCs w:val="24"/>
              </w:rPr>
            </w:pPr>
            <w:r>
              <w:rPr>
                <w:sz w:val="24"/>
                <w:szCs w:val="24"/>
              </w:rPr>
              <w:t>1,050</w:t>
            </w:r>
          </w:p>
        </w:tc>
        <w:tc>
          <w:tcPr>
            <w:tcW w:w="1417" w:type="dxa"/>
          </w:tcPr>
          <w:p w:rsidR="00DE121B" w:rsidRPr="00010E9D" w:rsidRDefault="00AE2C35" w:rsidP="00CE53DB">
            <w:pPr>
              <w:pStyle w:val="BodyTextIndent3"/>
              <w:ind w:left="0"/>
              <w:jc w:val="right"/>
              <w:rPr>
                <w:sz w:val="24"/>
                <w:szCs w:val="24"/>
              </w:rPr>
            </w:pPr>
            <w:r>
              <w:rPr>
                <w:sz w:val="24"/>
                <w:szCs w:val="24"/>
              </w:rPr>
              <w:t>0</w:t>
            </w:r>
          </w:p>
        </w:tc>
      </w:tr>
      <w:tr w:rsidR="00DE121B" w:rsidRPr="00DE121B" w:rsidTr="00DE121B">
        <w:tc>
          <w:tcPr>
            <w:tcW w:w="5376" w:type="dxa"/>
            <w:shd w:val="clear" w:color="auto" w:fill="auto"/>
          </w:tcPr>
          <w:p w:rsidR="00DE121B" w:rsidRPr="00DE121B" w:rsidRDefault="00DE121B" w:rsidP="00374AD2">
            <w:pPr>
              <w:pStyle w:val="BodyTextIndent3"/>
              <w:ind w:left="0"/>
              <w:jc w:val="both"/>
              <w:rPr>
                <w:sz w:val="24"/>
                <w:szCs w:val="24"/>
              </w:rPr>
            </w:pPr>
            <w:r w:rsidRPr="00DE121B">
              <w:rPr>
                <w:sz w:val="24"/>
                <w:szCs w:val="24"/>
              </w:rPr>
              <w:t>2 Year Old Offer</w:t>
            </w:r>
          </w:p>
        </w:tc>
        <w:tc>
          <w:tcPr>
            <w:tcW w:w="1417" w:type="dxa"/>
          </w:tcPr>
          <w:p w:rsidR="00DE121B" w:rsidRPr="00DE121B" w:rsidRDefault="00AE2C35" w:rsidP="00374AD2">
            <w:pPr>
              <w:pStyle w:val="BodyTextIndent3"/>
              <w:ind w:left="0"/>
              <w:jc w:val="right"/>
              <w:rPr>
                <w:sz w:val="24"/>
                <w:szCs w:val="24"/>
              </w:rPr>
            </w:pPr>
            <w:r>
              <w:rPr>
                <w:sz w:val="24"/>
                <w:szCs w:val="24"/>
              </w:rPr>
              <w:t>1,465</w:t>
            </w:r>
          </w:p>
        </w:tc>
        <w:tc>
          <w:tcPr>
            <w:tcW w:w="1417" w:type="dxa"/>
          </w:tcPr>
          <w:p w:rsidR="00DE121B" w:rsidRPr="00DE121B" w:rsidRDefault="00DE121B" w:rsidP="00CE53DB">
            <w:pPr>
              <w:pStyle w:val="BodyTextIndent3"/>
              <w:ind w:left="0"/>
              <w:jc w:val="right"/>
              <w:rPr>
                <w:sz w:val="24"/>
                <w:szCs w:val="24"/>
              </w:rPr>
            </w:pPr>
            <w:r w:rsidRPr="00DE121B">
              <w:rPr>
                <w:sz w:val="24"/>
                <w:szCs w:val="24"/>
              </w:rPr>
              <w:t>1,607</w:t>
            </w:r>
          </w:p>
        </w:tc>
      </w:tr>
      <w:tr w:rsidR="00DE121B" w:rsidTr="00DE121B">
        <w:tc>
          <w:tcPr>
            <w:tcW w:w="5376" w:type="dxa"/>
            <w:shd w:val="clear" w:color="auto" w:fill="auto"/>
          </w:tcPr>
          <w:p w:rsidR="00DE121B" w:rsidRPr="00010E9D" w:rsidRDefault="00DE121B" w:rsidP="00010E9D">
            <w:pPr>
              <w:pStyle w:val="BodyTextIndent3"/>
              <w:ind w:left="0"/>
              <w:jc w:val="both"/>
              <w:rPr>
                <w:sz w:val="24"/>
                <w:szCs w:val="24"/>
              </w:rPr>
            </w:pPr>
            <w:r w:rsidRPr="00010E9D">
              <w:rPr>
                <w:sz w:val="24"/>
                <w:szCs w:val="24"/>
              </w:rPr>
              <w:t>Centrally Retained Items</w:t>
            </w:r>
          </w:p>
        </w:tc>
        <w:tc>
          <w:tcPr>
            <w:tcW w:w="1417" w:type="dxa"/>
          </w:tcPr>
          <w:p w:rsidR="00DE121B" w:rsidRPr="00010E9D" w:rsidRDefault="00AE2C35" w:rsidP="00487E02">
            <w:pPr>
              <w:pStyle w:val="BodyTextIndent3"/>
              <w:ind w:left="0"/>
              <w:jc w:val="right"/>
              <w:rPr>
                <w:sz w:val="24"/>
                <w:szCs w:val="24"/>
              </w:rPr>
            </w:pPr>
            <w:r>
              <w:rPr>
                <w:sz w:val="24"/>
                <w:szCs w:val="24"/>
              </w:rPr>
              <w:t>895</w:t>
            </w:r>
          </w:p>
        </w:tc>
        <w:tc>
          <w:tcPr>
            <w:tcW w:w="1417" w:type="dxa"/>
          </w:tcPr>
          <w:p w:rsidR="00DE121B" w:rsidRPr="00010E9D" w:rsidRDefault="00DE121B" w:rsidP="00CE53DB">
            <w:pPr>
              <w:pStyle w:val="BodyTextIndent3"/>
              <w:ind w:left="0"/>
              <w:jc w:val="right"/>
              <w:rPr>
                <w:sz w:val="24"/>
                <w:szCs w:val="24"/>
              </w:rPr>
            </w:pPr>
            <w:r>
              <w:rPr>
                <w:sz w:val="24"/>
                <w:szCs w:val="24"/>
              </w:rPr>
              <w:t>694</w:t>
            </w:r>
          </w:p>
        </w:tc>
      </w:tr>
      <w:tr w:rsidR="00DE121B" w:rsidTr="00DE121B">
        <w:tc>
          <w:tcPr>
            <w:tcW w:w="5376" w:type="dxa"/>
            <w:shd w:val="clear" w:color="auto" w:fill="auto"/>
          </w:tcPr>
          <w:p w:rsidR="00DE121B" w:rsidRDefault="00DE121B" w:rsidP="00FD2F5E">
            <w:pPr>
              <w:pStyle w:val="BodyTextIndent3"/>
              <w:ind w:left="0"/>
              <w:jc w:val="both"/>
              <w:rPr>
                <w:sz w:val="24"/>
                <w:szCs w:val="24"/>
              </w:rPr>
            </w:pPr>
            <w:r>
              <w:rPr>
                <w:sz w:val="24"/>
                <w:szCs w:val="24"/>
              </w:rPr>
              <w:t>Contingency</w:t>
            </w:r>
          </w:p>
        </w:tc>
        <w:tc>
          <w:tcPr>
            <w:tcW w:w="1417" w:type="dxa"/>
          </w:tcPr>
          <w:p w:rsidR="00DE121B" w:rsidRDefault="002F4C52" w:rsidP="002F4C52">
            <w:pPr>
              <w:pStyle w:val="BodyTextIndent3"/>
              <w:ind w:left="0"/>
              <w:jc w:val="right"/>
              <w:rPr>
                <w:sz w:val="24"/>
                <w:szCs w:val="24"/>
              </w:rPr>
            </w:pPr>
            <w:r>
              <w:rPr>
                <w:sz w:val="24"/>
                <w:szCs w:val="24"/>
              </w:rPr>
              <w:t>1,370</w:t>
            </w:r>
          </w:p>
        </w:tc>
        <w:tc>
          <w:tcPr>
            <w:tcW w:w="1417" w:type="dxa"/>
          </w:tcPr>
          <w:p w:rsidR="00DE121B" w:rsidRDefault="00DE121B" w:rsidP="00CE53DB">
            <w:pPr>
              <w:pStyle w:val="BodyTextIndent3"/>
              <w:ind w:left="0"/>
              <w:jc w:val="right"/>
              <w:rPr>
                <w:sz w:val="24"/>
                <w:szCs w:val="24"/>
              </w:rPr>
            </w:pPr>
            <w:r>
              <w:rPr>
                <w:sz w:val="24"/>
                <w:szCs w:val="24"/>
              </w:rPr>
              <w:t>174</w:t>
            </w:r>
          </w:p>
        </w:tc>
      </w:tr>
      <w:tr w:rsidR="00DE121B" w:rsidRPr="00FF3903" w:rsidTr="00DE121B">
        <w:tc>
          <w:tcPr>
            <w:tcW w:w="5376" w:type="dxa"/>
            <w:shd w:val="clear" w:color="auto" w:fill="auto"/>
          </w:tcPr>
          <w:p w:rsidR="00DE121B" w:rsidRPr="00FF3903" w:rsidRDefault="00DE121B" w:rsidP="00FD2F5E">
            <w:pPr>
              <w:pStyle w:val="BodyTextIndent3"/>
              <w:ind w:left="0"/>
              <w:jc w:val="both"/>
              <w:rPr>
                <w:sz w:val="24"/>
                <w:szCs w:val="24"/>
              </w:rPr>
            </w:pPr>
            <w:r w:rsidRPr="00FF3903">
              <w:rPr>
                <w:sz w:val="24"/>
                <w:szCs w:val="24"/>
              </w:rPr>
              <w:t>Pupil Premium</w:t>
            </w:r>
          </w:p>
        </w:tc>
        <w:tc>
          <w:tcPr>
            <w:tcW w:w="1417" w:type="dxa"/>
          </w:tcPr>
          <w:p w:rsidR="00DE121B" w:rsidRPr="00FF3903" w:rsidRDefault="00AE2C35" w:rsidP="001C3BE0">
            <w:pPr>
              <w:pStyle w:val="BodyTextIndent3"/>
              <w:ind w:left="0"/>
              <w:jc w:val="right"/>
              <w:rPr>
                <w:sz w:val="24"/>
                <w:szCs w:val="24"/>
              </w:rPr>
            </w:pPr>
            <w:r>
              <w:rPr>
                <w:sz w:val="24"/>
                <w:szCs w:val="24"/>
              </w:rPr>
              <w:t>76</w:t>
            </w:r>
          </w:p>
        </w:tc>
        <w:tc>
          <w:tcPr>
            <w:tcW w:w="1417" w:type="dxa"/>
          </w:tcPr>
          <w:p w:rsidR="00DE121B" w:rsidRPr="00FF3903" w:rsidRDefault="00DE121B" w:rsidP="00CE53DB">
            <w:pPr>
              <w:pStyle w:val="BodyTextIndent3"/>
              <w:ind w:left="0"/>
              <w:jc w:val="right"/>
              <w:rPr>
                <w:sz w:val="24"/>
                <w:szCs w:val="24"/>
              </w:rPr>
            </w:pPr>
            <w:r>
              <w:rPr>
                <w:sz w:val="24"/>
                <w:szCs w:val="24"/>
              </w:rPr>
              <w:t>199</w:t>
            </w:r>
          </w:p>
        </w:tc>
      </w:tr>
      <w:tr w:rsidR="00DE121B" w:rsidTr="00AE2C35">
        <w:tc>
          <w:tcPr>
            <w:tcW w:w="5376" w:type="dxa"/>
            <w:tcBorders>
              <w:bottom w:val="single" w:sz="4" w:space="0" w:color="auto"/>
            </w:tcBorders>
            <w:shd w:val="clear" w:color="auto" w:fill="auto"/>
          </w:tcPr>
          <w:p w:rsidR="00DE121B" w:rsidRDefault="00AE2C35" w:rsidP="00374AD2">
            <w:pPr>
              <w:pStyle w:val="BodyTextIndent3"/>
              <w:ind w:left="0"/>
              <w:jc w:val="both"/>
              <w:rPr>
                <w:sz w:val="24"/>
                <w:szCs w:val="24"/>
              </w:rPr>
            </w:pPr>
            <w:r>
              <w:rPr>
                <w:sz w:val="24"/>
                <w:szCs w:val="24"/>
              </w:rPr>
              <w:t>Disability Access Fund</w:t>
            </w:r>
          </w:p>
        </w:tc>
        <w:tc>
          <w:tcPr>
            <w:tcW w:w="1417" w:type="dxa"/>
            <w:tcBorders>
              <w:bottom w:val="single" w:sz="4" w:space="0" w:color="auto"/>
            </w:tcBorders>
          </w:tcPr>
          <w:p w:rsidR="00DE121B" w:rsidRDefault="00AE2C35" w:rsidP="00374AD2">
            <w:pPr>
              <w:pStyle w:val="BodyTextIndent3"/>
              <w:ind w:left="0"/>
              <w:jc w:val="right"/>
              <w:rPr>
                <w:sz w:val="24"/>
                <w:szCs w:val="24"/>
              </w:rPr>
            </w:pPr>
            <w:r>
              <w:rPr>
                <w:sz w:val="24"/>
                <w:szCs w:val="24"/>
              </w:rPr>
              <w:t>37</w:t>
            </w:r>
          </w:p>
        </w:tc>
        <w:tc>
          <w:tcPr>
            <w:tcW w:w="1417" w:type="dxa"/>
            <w:tcBorders>
              <w:bottom w:val="single" w:sz="4" w:space="0" w:color="auto"/>
            </w:tcBorders>
          </w:tcPr>
          <w:p w:rsidR="00DE121B" w:rsidRDefault="00AE2C35" w:rsidP="00CE53DB">
            <w:pPr>
              <w:pStyle w:val="BodyTextIndent3"/>
              <w:ind w:left="0"/>
              <w:jc w:val="right"/>
              <w:rPr>
                <w:sz w:val="24"/>
                <w:szCs w:val="24"/>
              </w:rPr>
            </w:pPr>
            <w:r>
              <w:rPr>
                <w:sz w:val="24"/>
                <w:szCs w:val="24"/>
              </w:rPr>
              <w:t>0</w:t>
            </w:r>
          </w:p>
        </w:tc>
      </w:tr>
      <w:tr w:rsidR="00AE2C35" w:rsidRPr="00AE2C35" w:rsidTr="00AE2C35">
        <w:tc>
          <w:tcPr>
            <w:tcW w:w="5376" w:type="dxa"/>
            <w:shd w:val="clear" w:color="auto" w:fill="00B050"/>
          </w:tcPr>
          <w:p w:rsidR="00DE121B" w:rsidRPr="00AE2C35" w:rsidRDefault="00DE121B" w:rsidP="00FD2F5E">
            <w:pPr>
              <w:pStyle w:val="BodyTextIndent3"/>
              <w:ind w:left="0"/>
              <w:jc w:val="both"/>
              <w:rPr>
                <w:b/>
                <w:color w:val="FFFFFF" w:themeColor="background1"/>
                <w:sz w:val="24"/>
                <w:szCs w:val="24"/>
              </w:rPr>
            </w:pPr>
            <w:r w:rsidRPr="00AE2C35">
              <w:rPr>
                <w:b/>
                <w:color w:val="FFFFFF" w:themeColor="background1"/>
                <w:sz w:val="24"/>
                <w:szCs w:val="24"/>
              </w:rPr>
              <w:t>Total Early Years Block</w:t>
            </w:r>
          </w:p>
        </w:tc>
        <w:tc>
          <w:tcPr>
            <w:tcW w:w="1417" w:type="dxa"/>
            <w:shd w:val="clear" w:color="auto" w:fill="00B050"/>
          </w:tcPr>
          <w:p w:rsidR="00DE121B" w:rsidRPr="00AE2C35" w:rsidRDefault="00DE121B" w:rsidP="00AE2C35">
            <w:pPr>
              <w:pStyle w:val="BodyTextIndent3"/>
              <w:ind w:left="0"/>
              <w:jc w:val="right"/>
              <w:rPr>
                <w:b/>
                <w:color w:val="FFFFFF" w:themeColor="background1"/>
                <w:sz w:val="24"/>
                <w:szCs w:val="24"/>
              </w:rPr>
            </w:pPr>
            <w:r w:rsidRPr="00AE2C35">
              <w:rPr>
                <w:b/>
                <w:color w:val="FFFFFF" w:themeColor="background1"/>
                <w:sz w:val="24"/>
                <w:szCs w:val="24"/>
              </w:rPr>
              <w:t>1</w:t>
            </w:r>
            <w:r w:rsidR="00AE2C35" w:rsidRPr="00AE2C35">
              <w:rPr>
                <w:b/>
                <w:color w:val="FFFFFF" w:themeColor="background1"/>
                <w:sz w:val="24"/>
                <w:szCs w:val="24"/>
              </w:rPr>
              <w:t>5,061</w:t>
            </w:r>
          </w:p>
        </w:tc>
        <w:tc>
          <w:tcPr>
            <w:tcW w:w="1417" w:type="dxa"/>
            <w:shd w:val="clear" w:color="auto" w:fill="00B050"/>
          </w:tcPr>
          <w:p w:rsidR="00DE121B" w:rsidRPr="00AE2C35" w:rsidRDefault="00DE121B" w:rsidP="00CE53DB">
            <w:pPr>
              <w:pStyle w:val="BodyTextIndent3"/>
              <w:ind w:left="0"/>
              <w:jc w:val="right"/>
              <w:rPr>
                <w:b/>
                <w:color w:val="FFFFFF" w:themeColor="background1"/>
                <w:sz w:val="24"/>
                <w:szCs w:val="24"/>
              </w:rPr>
            </w:pPr>
            <w:r w:rsidRPr="00AE2C35">
              <w:rPr>
                <w:b/>
                <w:color w:val="FFFFFF" w:themeColor="background1"/>
                <w:sz w:val="24"/>
                <w:szCs w:val="24"/>
              </w:rPr>
              <w:t>11,122</w:t>
            </w:r>
          </w:p>
        </w:tc>
      </w:tr>
    </w:tbl>
    <w:p w:rsidR="00E61A46" w:rsidRDefault="00E61A46" w:rsidP="00E61A46">
      <w:pPr>
        <w:pStyle w:val="Header"/>
        <w:tabs>
          <w:tab w:val="clear" w:pos="4153"/>
          <w:tab w:val="clear" w:pos="8306"/>
        </w:tabs>
        <w:ind w:left="720"/>
      </w:pPr>
    </w:p>
    <w:p w:rsidR="00374AD2" w:rsidRDefault="004D2198" w:rsidP="00410D3D">
      <w:pPr>
        <w:pStyle w:val="Header"/>
        <w:numPr>
          <w:ilvl w:val="1"/>
          <w:numId w:val="2"/>
        </w:numPr>
        <w:tabs>
          <w:tab w:val="clear" w:pos="4153"/>
          <w:tab w:val="clear" w:pos="8306"/>
        </w:tabs>
        <w:ind w:hanging="720"/>
      </w:pPr>
      <w:r>
        <w:t>Based on the 2016 calendar year pupil counts, the estimated funding relating to 3 and 4 year old children for Merton maintained schools and PVI settings is expected to be in line with indicative budgets above. However, these are estimated budgets and the figures will be updated every term following the actual pupil counts. The formula used to allocate this funding, following on from consultation, is detailed in section 3. A summary of the factors used and the total budgets allocated against each factor and payments outside the formula for maintained schools and PVI settings can be found at Appendix 1</w:t>
      </w:r>
    </w:p>
    <w:p w:rsidR="00925822" w:rsidRDefault="00925822" w:rsidP="00925822">
      <w:pPr>
        <w:pStyle w:val="Header"/>
        <w:tabs>
          <w:tab w:val="clear" w:pos="4153"/>
          <w:tab w:val="clear" w:pos="8306"/>
        </w:tabs>
        <w:ind w:left="720"/>
      </w:pPr>
    </w:p>
    <w:p w:rsidR="002717E3" w:rsidRPr="00925822" w:rsidRDefault="00925822" w:rsidP="00410D3D">
      <w:pPr>
        <w:pStyle w:val="Header"/>
        <w:numPr>
          <w:ilvl w:val="1"/>
          <w:numId w:val="2"/>
        </w:numPr>
        <w:tabs>
          <w:tab w:val="clear" w:pos="4153"/>
          <w:tab w:val="clear" w:pos="8306"/>
        </w:tabs>
        <w:ind w:hanging="720"/>
      </w:pPr>
      <w:r w:rsidRPr="00925822">
        <w:t xml:space="preserve">The budget for the working parents additional 15 hours support which comes into effect from September was set using </w:t>
      </w:r>
      <w:r w:rsidR="005F16BA">
        <w:t xml:space="preserve">borough wide </w:t>
      </w:r>
      <w:r w:rsidRPr="00925822">
        <w:t>estimated take-up</w:t>
      </w:r>
      <w:r w:rsidR="00201768" w:rsidRPr="00925822">
        <w:t>.</w:t>
      </w:r>
      <w:r w:rsidR="005F16BA">
        <w:t xml:space="preserve"> Further work is under way to allocate setting level indicative budgets in the summer term.</w:t>
      </w:r>
      <w:r w:rsidRPr="00925822">
        <w:t xml:space="preserve">  </w:t>
      </w:r>
    </w:p>
    <w:p w:rsidR="00374AD2" w:rsidRDefault="00374AD2" w:rsidP="00374AD2">
      <w:pPr>
        <w:pStyle w:val="Header"/>
        <w:tabs>
          <w:tab w:val="clear" w:pos="4153"/>
          <w:tab w:val="clear" w:pos="8306"/>
        </w:tabs>
        <w:ind w:left="720"/>
      </w:pPr>
    </w:p>
    <w:p w:rsidR="00374AD2" w:rsidRDefault="004D2198" w:rsidP="00410D3D">
      <w:pPr>
        <w:pStyle w:val="Header"/>
        <w:numPr>
          <w:ilvl w:val="1"/>
          <w:numId w:val="2"/>
        </w:numPr>
        <w:tabs>
          <w:tab w:val="clear" w:pos="4153"/>
          <w:tab w:val="clear" w:pos="8306"/>
        </w:tabs>
        <w:ind w:hanging="720"/>
      </w:pPr>
      <w:r>
        <w:t xml:space="preserve">Based on the 2016 calendar year pupil counts, the estimated funding relating to 2 year old children for Merton settings is shown above. The formula used to allocate this funding is detailed in section 3. </w:t>
      </w:r>
      <w:r w:rsidRPr="00EA0328">
        <w:t>A summary of the total budgets allocated against each set</w:t>
      </w:r>
      <w:r>
        <w:t xml:space="preserve">ting can be found at Appendix </w:t>
      </w:r>
      <w:r w:rsidR="00374AD2">
        <w:t>B.</w:t>
      </w:r>
    </w:p>
    <w:p w:rsidR="00374AD2" w:rsidRDefault="00374AD2" w:rsidP="00374AD2">
      <w:pPr>
        <w:pStyle w:val="ListParagraph"/>
      </w:pPr>
    </w:p>
    <w:p w:rsidR="00374AD2" w:rsidRDefault="00812CF9" w:rsidP="00410D3D">
      <w:pPr>
        <w:pStyle w:val="Header"/>
        <w:numPr>
          <w:ilvl w:val="1"/>
          <w:numId w:val="2"/>
        </w:numPr>
        <w:tabs>
          <w:tab w:val="clear" w:pos="4153"/>
          <w:tab w:val="clear" w:pos="8306"/>
        </w:tabs>
        <w:ind w:hanging="720"/>
      </w:pPr>
      <w:r>
        <w:t>The £895k allocation for centrally retained items includes fundin</w:t>
      </w:r>
      <w:r w:rsidR="00787058">
        <w:t>g for training</w:t>
      </w:r>
      <w:r>
        <w:t>, inclusion and SEN support and advisory work, market management/</w:t>
      </w:r>
      <w:r w:rsidR="00787058">
        <w:t xml:space="preserve"> </w:t>
      </w:r>
      <w:r>
        <w:t xml:space="preserve">sufficiency and information, and back office/administrative functions. </w:t>
      </w:r>
      <w:r w:rsidR="00787058">
        <w:t xml:space="preserve">This represents 7% of the expected 3&amp;4 year old grand as well as £30k of 2 year old grant.  </w:t>
      </w:r>
      <w:r>
        <w:t>LA</w:t>
      </w:r>
      <w:r w:rsidR="00787058">
        <w:t>s</w:t>
      </w:r>
      <w:r>
        <w:t xml:space="preserve"> are capped at 7% of total budget of 2017/18 and at 5% from April 2018</w:t>
      </w:r>
      <w:r w:rsidR="00787058">
        <w:t xml:space="preserve"> of their 3&amp;4 year old grant with no limit on the 2 year old grant.</w:t>
      </w:r>
      <w:r>
        <w:t xml:space="preserve"> The amount of funding that must pass through to providers is called the “High Pass Through Rate”.</w:t>
      </w:r>
      <w:r w:rsidR="0099276E">
        <w:t xml:space="preserve"> Schools Forum is required to agree that these funds can be centrally retained every year.</w:t>
      </w:r>
    </w:p>
    <w:p w:rsidR="004A2B5D" w:rsidRDefault="004A2B5D" w:rsidP="00374AD2">
      <w:pPr>
        <w:pStyle w:val="Header"/>
        <w:tabs>
          <w:tab w:val="clear" w:pos="4153"/>
          <w:tab w:val="clear" w:pos="8306"/>
        </w:tabs>
      </w:pPr>
    </w:p>
    <w:p w:rsidR="004A2B5D" w:rsidRDefault="00272BD9" w:rsidP="00EC2DB9">
      <w:pPr>
        <w:pStyle w:val="Header"/>
        <w:numPr>
          <w:ilvl w:val="1"/>
          <w:numId w:val="2"/>
        </w:numPr>
        <w:tabs>
          <w:tab w:val="clear" w:pos="4153"/>
          <w:tab w:val="clear" w:pos="8306"/>
        </w:tabs>
        <w:ind w:hanging="720"/>
      </w:pPr>
      <w:r>
        <w:t xml:space="preserve">The contingency </w:t>
      </w:r>
      <w:r w:rsidR="002F4C52">
        <w:t xml:space="preserve">for 2017/18 </w:t>
      </w:r>
      <w:r>
        <w:t>has been</w:t>
      </w:r>
      <w:r w:rsidR="00D23680">
        <w:t xml:space="preserve"> </w:t>
      </w:r>
      <w:r w:rsidR="002F4C52">
        <w:t xml:space="preserve">set at £1.370m. The majority of the contingency is to account for the </w:t>
      </w:r>
      <w:r w:rsidR="00AA58D2">
        <w:t>difference</w:t>
      </w:r>
      <w:r w:rsidR="002F4C52">
        <w:t xml:space="preserve"> between the initial grant allocation and Merton’s expected grant allocation </w:t>
      </w:r>
      <w:r w:rsidR="00DD6278">
        <w:t>which is based on anticipated</w:t>
      </w:r>
      <w:r w:rsidR="002F4C52">
        <w:t xml:space="preserve"> </w:t>
      </w:r>
      <w:r w:rsidR="00AA58D2">
        <w:t>take-up. The actual grant will be based on 5/12ths of the January 2017 count and 7/12ths of the January 2018 count. The table below sets out both the expected contingency available and the expected grant reduction.</w:t>
      </w:r>
    </w:p>
    <w:p w:rsidR="00AA58D2" w:rsidRDefault="00AA58D2" w:rsidP="00AA58D2">
      <w:pPr>
        <w:pStyle w:val="ListParagraph"/>
      </w:pP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7"/>
        <w:gridCol w:w="1713"/>
      </w:tblGrid>
      <w:tr w:rsidR="00AA58D2" w:rsidRPr="00AA58D2" w:rsidTr="00AA58D2">
        <w:tc>
          <w:tcPr>
            <w:tcW w:w="6497" w:type="dxa"/>
            <w:shd w:val="clear" w:color="auto" w:fill="00B050"/>
          </w:tcPr>
          <w:p w:rsidR="00AA58D2" w:rsidRPr="00AA58D2" w:rsidRDefault="00AA58D2" w:rsidP="00CE53DB">
            <w:pPr>
              <w:pStyle w:val="BodyTextIndent3"/>
              <w:ind w:left="0"/>
              <w:jc w:val="both"/>
              <w:rPr>
                <w:b/>
                <w:color w:val="FFFFFF" w:themeColor="background1"/>
                <w:sz w:val="24"/>
                <w:szCs w:val="24"/>
              </w:rPr>
            </w:pPr>
          </w:p>
          <w:p w:rsidR="00AA58D2" w:rsidRPr="00AA58D2" w:rsidRDefault="00AA58D2" w:rsidP="00CE53DB">
            <w:pPr>
              <w:pStyle w:val="BodyTextIndent3"/>
              <w:ind w:left="0"/>
              <w:jc w:val="both"/>
              <w:rPr>
                <w:b/>
                <w:color w:val="FFFFFF" w:themeColor="background1"/>
                <w:sz w:val="24"/>
                <w:szCs w:val="24"/>
              </w:rPr>
            </w:pPr>
            <w:r w:rsidRPr="00AA58D2">
              <w:rPr>
                <w:b/>
                <w:color w:val="FFFFFF" w:themeColor="background1"/>
                <w:sz w:val="24"/>
                <w:szCs w:val="24"/>
              </w:rPr>
              <w:t>Contingency</w:t>
            </w:r>
          </w:p>
        </w:tc>
        <w:tc>
          <w:tcPr>
            <w:tcW w:w="1713" w:type="dxa"/>
            <w:shd w:val="clear" w:color="auto" w:fill="00B050"/>
          </w:tcPr>
          <w:p w:rsidR="00AA58D2" w:rsidRPr="00AA58D2" w:rsidRDefault="00AA58D2" w:rsidP="00CE53DB">
            <w:pPr>
              <w:pStyle w:val="BodyTextIndent3"/>
              <w:ind w:left="0"/>
              <w:jc w:val="right"/>
              <w:rPr>
                <w:b/>
                <w:color w:val="FFFFFF" w:themeColor="background1"/>
                <w:sz w:val="24"/>
                <w:szCs w:val="24"/>
              </w:rPr>
            </w:pPr>
            <w:r w:rsidRPr="00AA58D2">
              <w:rPr>
                <w:b/>
                <w:color w:val="FFFFFF" w:themeColor="background1"/>
                <w:sz w:val="24"/>
                <w:szCs w:val="24"/>
              </w:rPr>
              <w:t>2017/18</w:t>
            </w:r>
          </w:p>
          <w:p w:rsidR="00AA58D2" w:rsidRPr="00AA58D2" w:rsidRDefault="00AA58D2" w:rsidP="00CE53DB">
            <w:pPr>
              <w:pStyle w:val="BodyTextIndent3"/>
              <w:ind w:left="0"/>
              <w:jc w:val="right"/>
              <w:rPr>
                <w:b/>
                <w:color w:val="FFFFFF" w:themeColor="background1"/>
                <w:sz w:val="24"/>
                <w:szCs w:val="24"/>
              </w:rPr>
            </w:pPr>
            <w:r w:rsidRPr="00AA58D2">
              <w:rPr>
                <w:b/>
                <w:color w:val="FFFFFF" w:themeColor="background1"/>
                <w:sz w:val="24"/>
                <w:szCs w:val="24"/>
              </w:rPr>
              <w:t>£000</w:t>
            </w:r>
          </w:p>
        </w:tc>
      </w:tr>
      <w:tr w:rsidR="00AA58D2" w:rsidRPr="00010E9D" w:rsidTr="00AA58D2">
        <w:tc>
          <w:tcPr>
            <w:tcW w:w="6497" w:type="dxa"/>
            <w:shd w:val="clear" w:color="auto" w:fill="auto"/>
          </w:tcPr>
          <w:p w:rsidR="00AA58D2" w:rsidRPr="00010E9D" w:rsidRDefault="00AA58D2" w:rsidP="00CE53DB">
            <w:pPr>
              <w:pStyle w:val="BodyTextIndent3"/>
              <w:ind w:left="0"/>
              <w:jc w:val="both"/>
              <w:rPr>
                <w:sz w:val="24"/>
                <w:szCs w:val="24"/>
              </w:rPr>
            </w:pPr>
            <w:r>
              <w:rPr>
                <w:sz w:val="24"/>
                <w:szCs w:val="24"/>
              </w:rPr>
              <w:t>Grant reduction- 3&amp;4 YO universal funding</w:t>
            </w:r>
          </w:p>
        </w:tc>
        <w:tc>
          <w:tcPr>
            <w:tcW w:w="1713" w:type="dxa"/>
          </w:tcPr>
          <w:p w:rsidR="00AA58D2" w:rsidRPr="00010E9D" w:rsidRDefault="00AA58D2" w:rsidP="00CE53DB">
            <w:pPr>
              <w:pStyle w:val="BodyTextIndent3"/>
              <w:ind w:left="0"/>
              <w:jc w:val="right"/>
              <w:rPr>
                <w:sz w:val="24"/>
                <w:szCs w:val="24"/>
              </w:rPr>
            </w:pPr>
            <w:r>
              <w:rPr>
                <w:sz w:val="24"/>
                <w:szCs w:val="24"/>
              </w:rPr>
              <w:t>427</w:t>
            </w:r>
          </w:p>
        </w:tc>
      </w:tr>
      <w:tr w:rsidR="00AA58D2" w:rsidRPr="00010E9D" w:rsidTr="00AA58D2">
        <w:tc>
          <w:tcPr>
            <w:tcW w:w="6497" w:type="dxa"/>
            <w:shd w:val="clear" w:color="auto" w:fill="auto"/>
          </w:tcPr>
          <w:p w:rsidR="00AA58D2" w:rsidRPr="00010E9D" w:rsidRDefault="00AA58D2" w:rsidP="00CE53DB">
            <w:pPr>
              <w:pStyle w:val="BodyTextIndent3"/>
              <w:ind w:left="0"/>
              <w:jc w:val="both"/>
              <w:rPr>
                <w:sz w:val="24"/>
                <w:szCs w:val="24"/>
              </w:rPr>
            </w:pPr>
            <w:r>
              <w:rPr>
                <w:sz w:val="24"/>
                <w:szCs w:val="24"/>
              </w:rPr>
              <w:t>Grant reduction- 3&amp;4 YO working parents funding</w:t>
            </w:r>
          </w:p>
        </w:tc>
        <w:tc>
          <w:tcPr>
            <w:tcW w:w="1713" w:type="dxa"/>
          </w:tcPr>
          <w:p w:rsidR="00AA58D2" w:rsidRPr="00010E9D" w:rsidRDefault="00AA58D2" w:rsidP="00CE53DB">
            <w:pPr>
              <w:pStyle w:val="BodyTextIndent3"/>
              <w:ind w:left="0"/>
              <w:jc w:val="right"/>
              <w:rPr>
                <w:sz w:val="24"/>
                <w:szCs w:val="24"/>
              </w:rPr>
            </w:pPr>
            <w:r>
              <w:rPr>
                <w:sz w:val="24"/>
                <w:szCs w:val="24"/>
              </w:rPr>
              <w:t>628</w:t>
            </w:r>
          </w:p>
        </w:tc>
      </w:tr>
      <w:tr w:rsidR="00AA58D2" w:rsidRPr="00DE121B" w:rsidTr="00AA58D2">
        <w:tc>
          <w:tcPr>
            <w:tcW w:w="6497" w:type="dxa"/>
            <w:shd w:val="clear" w:color="auto" w:fill="auto"/>
          </w:tcPr>
          <w:p w:rsidR="00AA58D2" w:rsidRPr="00DE121B" w:rsidRDefault="00AA58D2" w:rsidP="00CE53DB">
            <w:pPr>
              <w:pStyle w:val="BodyTextIndent3"/>
              <w:ind w:left="0"/>
              <w:jc w:val="both"/>
              <w:rPr>
                <w:sz w:val="24"/>
                <w:szCs w:val="24"/>
              </w:rPr>
            </w:pPr>
            <w:r>
              <w:rPr>
                <w:sz w:val="24"/>
                <w:szCs w:val="24"/>
              </w:rPr>
              <w:t xml:space="preserve">Grant reduction- </w:t>
            </w:r>
            <w:r w:rsidRPr="00DE121B">
              <w:rPr>
                <w:sz w:val="24"/>
                <w:szCs w:val="24"/>
              </w:rPr>
              <w:t>2 Year Old Offer</w:t>
            </w:r>
          </w:p>
        </w:tc>
        <w:tc>
          <w:tcPr>
            <w:tcW w:w="1713" w:type="dxa"/>
          </w:tcPr>
          <w:p w:rsidR="00AA58D2" w:rsidRPr="00DE121B" w:rsidRDefault="00AA58D2" w:rsidP="00CE53DB">
            <w:pPr>
              <w:pStyle w:val="BodyTextIndent3"/>
              <w:ind w:left="0"/>
              <w:jc w:val="right"/>
              <w:rPr>
                <w:sz w:val="24"/>
                <w:szCs w:val="24"/>
              </w:rPr>
            </w:pPr>
            <w:r>
              <w:rPr>
                <w:sz w:val="24"/>
                <w:szCs w:val="24"/>
              </w:rPr>
              <w:t>40</w:t>
            </w:r>
          </w:p>
        </w:tc>
      </w:tr>
      <w:tr w:rsidR="00AA58D2" w:rsidRPr="00010E9D" w:rsidTr="00AA58D2">
        <w:tc>
          <w:tcPr>
            <w:tcW w:w="6497" w:type="dxa"/>
            <w:shd w:val="clear" w:color="auto" w:fill="auto"/>
          </w:tcPr>
          <w:p w:rsidR="00AA58D2" w:rsidRPr="00010E9D" w:rsidRDefault="00AA58D2" w:rsidP="00CE53DB">
            <w:pPr>
              <w:pStyle w:val="BodyTextIndent3"/>
              <w:ind w:left="0"/>
              <w:jc w:val="both"/>
              <w:rPr>
                <w:sz w:val="24"/>
                <w:szCs w:val="24"/>
              </w:rPr>
            </w:pPr>
            <w:r>
              <w:rPr>
                <w:sz w:val="24"/>
                <w:szCs w:val="24"/>
              </w:rPr>
              <w:t xml:space="preserve">Grant reduction- </w:t>
            </w:r>
            <w:r w:rsidRPr="00010E9D">
              <w:rPr>
                <w:sz w:val="24"/>
                <w:szCs w:val="24"/>
              </w:rPr>
              <w:t>Centrally Retained Items</w:t>
            </w:r>
          </w:p>
        </w:tc>
        <w:tc>
          <w:tcPr>
            <w:tcW w:w="1713" w:type="dxa"/>
          </w:tcPr>
          <w:p w:rsidR="00AA58D2" w:rsidRPr="00010E9D" w:rsidRDefault="00AA58D2" w:rsidP="00CE53DB">
            <w:pPr>
              <w:pStyle w:val="BodyTextIndent3"/>
              <w:ind w:left="0"/>
              <w:jc w:val="right"/>
              <w:rPr>
                <w:sz w:val="24"/>
                <w:szCs w:val="24"/>
              </w:rPr>
            </w:pPr>
            <w:r>
              <w:rPr>
                <w:sz w:val="24"/>
                <w:szCs w:val="24"/>
              </w:rPr>
              <w:t>73</w:t>
            </w:r>
          </w:p>
        </w:tc>
      </w:tr>
      <w:tr w:rsidR="00AA58D2" w:rsidTr="00AA58D2">
        <w:tc>
          <w:tcPr>
            <w:tcW w:w="6497" w:type="dxa"/>
            <w:shd w:val="clear" w:color="auto" w:fill="auto"/>
          </w:tcPr>
          <w:p w:rsidR="00AA58D2" w:rsidRDefault="00DD6278" w:rsidP="00DD6278">
            <w:pPr>
              <w:pStyle w:val="BodyTextIndent3"/>
              <w:ind w:left="0"/>
              <w:jc w:val="both"/>
              <w:rPr>
                <w:sz w:val="24"/>
                <w:szCs w:val="24"/>
              </w:rPr>
            </w:pPr>
            <w:r>
              <w:rPr>
                <w:sz w:val="24"/>
                <w:szCs w:val="24"/>
              </w:rPr>
              <w:t>Available c</w:t>
            </w:r>
            <w:r w:rsidR="00AA58D2">
              <w:rPr>
                <w:sz w:val="24"/>
                <w:szCs w:val="24"/>
              </w:rPr>
              <w:t>ontingency</w:t>
            </w:r>
          </w:p>
        </w:tc>
        <w:tc>
          <w:tcPr>
            <w:tcW w:w="1713" w:type="dxa"/>
          </w:tcPr>
          <w:p w:rsidR="00AA58D2" w:rsidRDefault="00DD6278" w:rsidP="00CE53DB">
            <w:pPr>
              <w:pStyle w:val="BodyTextIndent3"/>
              <w:ind w:left="0"/>
              <w:jc w:val="right"/>
              <w:rPr>
                <w:sz w:val="24"/>
                <w:szCs w:val="24"/>
              </w:rPr>
            </w:pPr>
            <w:r>
              <w:rPr>
                <w:sz w:val="24"/>
                <w:szCs w:val="24"/>
              </w:rPr>
              <w:t>202</w:t>
            </w:r>
          </w:p>
        </w:tc>
      </w:tr>
      <w:tr w:rsidR="00AA58D2" w:rsidRPr="00AA58D2" w:rsidTr="00AA58D2">
        <w:tc>
          <w:tcPr>
            <w:tcW w:w="6497" w:type="dxa"/>
            <w:shd w:val="clear" w:color="auto" w:fill="00B050"/>
          </w:tcPr>
          <w:p w:rsidR="00AA58D2" w:rsidRPr="00AA58D2" w:rsidRDefault="00AA58D2" w:rsidP="00CE53DB">
            <w:pPr>
              <w:pStyle w:val="BodyTextIndent3"/>
              <w:ind w:left="0"/>
              <w:jc w:val="both"/>
              <w:rPr>
                <w:b/>
                <w:color w:val="FFFFFF" w:themeColor="background1"/>
                <w:sz w:val="24"/>
                <w:szCs w:val="24"/>
              </w:rPr>
            </w:pPr>
            <w:r w:rsidRPr="00AA58D2">
              <w:rPr>
                <w:b/>
                <w:color w:val="FFFFFF" w:themeColor="background1"/>
                <w:sz w:val="24"/>
                <w:szCs w:val="24"/>
              </w:rPr>
              <w:t>Total contingency</w:t>
            </w:r>
          </w:p>
        </w:tc>
        <w:tc>
          <w:tcPr>
            <w:tcW w:w="1713" w:type="dxa"/>
            <w:shd w:val="clear" w:color="auto" w:fill="00B050"/>
          </w:tcPr>
          <w:p w:rsidR="00AA58D2" w:rsidRPr="00AA58D2" w:rsidRDefault="00AA58D2" w:rsidP="00CE53DB">
            <w:pPr>
              <w:pStyle w:val="BodyTextIndent3"/>
              <w:ind w:left="0"/>
              <w:jc w:val="right"/>
              <w:rPr>
                <w:b/>
                <w:color w:val="FFFFFF" w:themeColor="background1"/>
                <w:sz w:val="24"/>
                <w:szCs w:val="24"/>
              </w:rPr>
            </w:pPr>
            <w:r w:rsidRPr="00AA58D2">
              <w:rPr>
                <w:b/>
                <w:color w:val="FFFFFF" w:themeColor="background1"/>
                <w:sz w:val="24"/>
                <w:szCs w:val="24"/>
              </w:rPr>
              <w:t>1,370</w:t>
            </w:r>
          </w:p>
        </w:tc>
      </w:tr>
    </w:tbl>
    <w:p w:rsidR="00AA58D2" w:rsidRDefault="00AA58D2" w:rsidP="00AA58D2">
      <w:pPr>
        <w:pStyle w:val="Header"/>
        <w:tabs>
          <w:tab w:val="clear" w:pos="4153"/>
          <w:tab w:val="clear" w:pos="8306"/>
        </w:tabs>
        <w:ind w:left="720"/>
      </w:pPr>
    </w:p>
    <w:p w:rsidR="00A63016" w:rsidRDefault="00A63016" w:rsidP="00A63016">
      <w:pPr>
        <w:pStyle w:val="Header"/>
        <w:tabs>
          <w:tab w:val="clear" w:pos="4153"/>
          <w:tab w:val="clear" w:pos="8306"/>
        </w:tabs>
      </w:pPr>
    </w:p>
    <w:p w:rsidR="009C5A47" w:rsidRPr="00812CF9" w:rsidRDefault="00812CF9" w:rsidP="00EC2DB9">
      <w:pPr>
        <w:pStyle w:val="Header"/>
        <w:numPr>
          <w:ilvl w:val="1"/>
          <w:numId w:val="2"/>
        </w:numPr>
        <w:tabs>
          <w:tab w:val="clear" w:pos="4153"/>
          <w:tab w:val="clear" w:pos="8306"/>
        </w:tabs>
        <w:ind w:hanging="720"/>
      </w:pPr>
      <w:r w:rsidRPr="002D210C">
        <w:rPr>
          <w:rFonts w:cs="Arial"/>
          <w:szCs w:val="24"/>
        </w:rPr>
        <w:t>The EF</w:t>
      </w:r>
      <w:r>
        <w:rPr>
          <w:rFonts w:cs="Arial"/>
          <w:szCs w:val="24"/>
        </w:rPr>
        <w:t xml:space="preserve">A </w:t>
      </w:r>
      <w:r w:rsidRPr="002D210C">
        <w:rPr>
          <w:rFonts w:cs="Arial"/>
          <w:szCs w:val="24"/>
        </w:rPr>
        <w:t>will continue to pay Early Years Pupil Premium as a separate funding stream.  This is paid to settings and schools after each term’s headcount at 0.53 pence per hour. Any underspend on EYPP is expected to be clawed back.</w:t>
      </w:r>
      <w:r>
        <w:rPr>
          <w:rFonts w:cs="Arial"/>
          <w:szCs w:val="24"/>
        </w:rPr>
        <w:t xml:space="preserve"> Total budget is £76k.</w:t>
      </w:r>
    </w:p>
    <w:p w:rsidR="00812CF9" w:rsidRPr="00812CF9" w:rsidRDefault="00812CF9" w:rsidP="00812CF9">
      <w:pPr>
        <w:pStyle w:val="Header"/>
        <w:tabs>
          <w:tab w:val="clear" w:pos="4153"/>
          <w:tab w:val="clear" w:pos="8306"/>
        </w:tabs>
        <w:ind w:left="720"/>
      </w:pPr>
    </w:p>
    <w:p w:rsidR="00812CF9" w:rsidRPr="00374AD2" w:rsidRDefault="00812CF9" w:rsidP="00EC2DB9">
      <w:pPr>
        <w:pStyle w:val="Header"/>
        <w:numPr>
          <w:ilvl w:val="1"/>
          <w:numId w:val="2"/>
        </w:numPr>
        <w:tabs>
          <w:tab w:val="clear" w:pos="4153"/>
          <w:tab w:val="clear" w:pos="8306"/>
        </w:tabs>
        <w:ind w:hanging="720"/>
      </w:pPr>
      <w:r>
        <w:rPr>
          <w:rFonts w:cs="Arial"/>
          <w:szCs w:val="24"/>
        </w:rPr>
        <w:t>The EFA have added a new further fund outside of the formula called Disability Access Fund.  This is a one off lump sum payment of £615, any underspend is expected to be clawed back. The total budget is £37k.</w:t>
      </w:r>
    </w:p>
    <w:p w:rsidR="00374AD2" w:rsidRDefault="00812CF9" w:rsidP="00EC2DB9">
      <w:pPr>
        <w:pStyle w:val="Header"/>
        <w:numPr>
          <w:ilvl w:val="1"/>
          <w:numId w:val="2"/>
        </w:numPr>
        <w:tabs>
          <w:tab w:val="clear" w:pos="4153"/>
          <w:tab w:val="clear" w:pos="8306"/>
        </w:tabs>
        <w:ind w:hanging="720"/>
      </w:pPr>
      <w:r>
        <w:t>Following the re-baselining of the DSG, it is no longer necessary to make adjustments to the blocks for changes which were agreed for the years up to 2016/17. There are no transfers proposed to or from the Early Years Block for 2017/18.</w:t>
      </w:r>
    </w:p>
    <w:p w:rsidR="00904A8D" w:rsidRDefault="00904A8D">
      <w:pPr>
        <w:pStyle w:val="Header"/>
        <w:tabs>
          <w:tab w:val="clear" w:pos="4153"/>
          <w:tab w:val="clear" w:pos="8306"/>
        </w:tabs>
      </w:pPr>
    </w:p>
    <w:p w:rsidR="00226BB9" w:rsidRDefault="00226BB9" w:rsidP="00226BB9">
      <w:pPr>
        <w:pStyle w:val="Header"/>
        <w:numPr>
          <w:ilvl w:val="0"/>
          <w:numId w:val="2"/>
        </w:numPr>
        <w:tabs>
          <w:tab w:val="clear" w:pos="4153"/>
          <w:tab w:val="clear" w:pos="8306"/>
        </w:tabs>
        <w:ind w:hanging="720"/>
        <w:rPr>
          <w:rFonts w:cs="Arial"/>
          <w:b/>
          <w:bCs/>
          <w:sz w:val="28"/>
        </w:rPr>
      </w:pPr>
      <w:r>
        <w:rPr>
          <w:rFonts w:cs="Arial"/>
          <w:b/>
          <w:bCs/>
          <w:sz w:val="28"/>
        </w:rPr>
        <w:t>Early Years Funding Formula</w:t>
      </w:r>
    </w:p>
    <w:p w:rsidR="00226BB9" w:rsidRDefault="0099276E" w:rsidP="0099276E">
      <w:pPr>
        <w:pStyle w:val="Header"/>
        <w:tabs>
          <w:tab w:val="clear" w:pos="4153"/>
          <w:tab w:val="clear" w:pos="8306"/>
        </w:tabs>
        <w:ind w:left="720"/>
        <w:rPr>
          <w:rFonts w:cs="Arial"/>
          <w:b/>
          <w:bCs/>
          <w:szCs w:val="24"/>
        </w:rPr>
      </w:pPr>
      <w:r>
        <w:rPr>
          <w:rFonts w:cs="Arial"/>
          <w:b/>
          <w:bCs/>
          <w:szCs w:val="24"/>
        </w:rPr>
        <w:t>3 and 4 year old formula</w:t>
      </w:r>
    </w:p>
    <w:p w:rsidR="00226BB9" w:rsidRDefault="00226BB9" w:rsidP="00226BB9">
      <w:pPr>
        <w:rPr>
          <w:rFonts w:ascii="Arial" w:hAnsi="Arial" w:cs="Arial"/>
        </w:rPr>
      </w:pPr>
    </w:p>
    <w:p w:rsidR="00226BB9" w:rsidRDefault="00226BB9" w:rsidP="00226BB9">
      <w:pPr>
        <w:numPr>
          <w:ilvl w:val="0"/>
          <w:numId w:val="8"/>
        </w:numPr>
        <w:tabs>
          <w:tab w:val="clear" w:pos="927"/>
          <w:tab w:val="num" w:pos="720"/>
        </w:tabs>
        <w:ind w:left="720" w:hanging="720"/>
        <w:rPr>
          <w:rFonts w:ascii="Arial" w:hAnsi="Arial"/>
          <w:szCs w:val="20"/>
        </w:rPr>
      </w:pPr>
      <w:r w:rsidRPr="00226BB9">
        <w:rPr>
          <w:rFonts w:ascii="Arial" w:hAnsi="Arial"/>
          <w:szCs w:val="20"/>
        </w:rPr>
        <w:t xml:space="preserve">In line with the new direction of travel Merton has set only one new </w:t>
      </w:r>
      <w:r w:rsidRPr="00226BB9">
        <w:rPr>
          <w:rFonts w:ascii="Arial" w:hAnsi="Arial"/>
          <w:b/>
          <w:szCs w:val="20"/>
        </w:rPr>
        <w:t>base rate</w:t>
      </w:r>
      <w:r w:rsidRPr="00226BB9">
        <w:rPr>
          <w:rFonts w:ascii="Arial" w:hAnsi="Arial"/>
          <w:szCs w:val="20"/>
        </w:rPr>
        <w:t xml:space="preserve"> in the formula for 3 and 4 year olds (universal and extended entitlement) for all setting</w:t>
      </w:r>
      <w:r>
        <w:rPr>
          <w:rFonts w:ascii="Arial" w:hAnsi="Arial"/>
          <w:szCs w:val="20"/>
        </w:rPr>
        <w:t xml:space="preserve"> as per the table below.</w:t>
      </w: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202"/>
        <w:gridCol w:w="2625"/>
      </w:tblGrid>
      <w:tr w:rsidR="00226BB9" w:rsidRPr="00226BB9" w:rsidTr="00226BB9">
        <w:tc>
          <w:tcPr>
            <w:tcW w:w="4775" w:type="dxa"/>
            <w:shd w:val="clear" w:color="auto" w:fill="00B050"/>
          </w:tcPr>
          <w:p w:rsidR="00226BB9" w:rsidRPr="00226BB9" w:rsidRDefault="00226BB9" w:rsidP="00CE53DB">
            <w:pPr>
              <w:rPr>
                <w:rFonts w:ascii="Arial" w:hAnsi="Arial"/>
                <w:b/>
                <w:color w:val="FFFFFF" w:themeColor="background1"/>
                <w:szCs w:val="20"/>
              </w:rPr>
            </w:pPr>
          </w:p>
          <w:p w:rsidR="00226BB9" w:rsidRPr="00226BB9" w:rsidRDefault="00226BB9" w:rsidP="00CE53DB">
            <w:pPr>
              <w:rPr>
                <w:rFonts w:ascii="Arial" w:hAnsi="Arial"/>
                <w:b/>
                <w:color w:val="FFFFFF" w:themeColor="background1"/>
                <w:szCs w:val="20"/>
              </w:rPr>
            </w:pPr>
            <w:r w:rsidRPr="00226BB9">
              <w:rPr>
                <w:rFonts w:ascii="Arial" w:hAnsi="Arial"/>
                <w:b/>
                <w:color w:val="FFFFFF" w:themeColor="background1"/>
                <w:szCs w:val="20"/>
              </w:rPr>
              <w:t>Description</w:t>
            </w:r>
          </w:p>
        </w:tc>
        <w:tc>
          <w:tcPr>
            <w:tcW w:w="0" w:type="auto"/>
            <w:shd w:val="clear" w:color="auto" w:fill="00B050"/>
          </w:tcPr>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2017/18 Rate</w:t>
            </w:r>
          </w:p>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w:t>
            </w:r>
          </w:p>
        </w:tc>
        <w:tc>
          <w:tcPr>
            <w:tcW w:w="2625" w:type="dxa"/>
            <w:shd w:val="clear" w:color="auto" w:fill="00B050"/>
          </w:tcPr>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2016/17                Rate</w:t>
            </w:r>
          </w:p>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w:t>
            </w:r>
          </w:p>
        </w:tc>
      </w:tr>
      <w:tr w:rsidR="00226BB9" w:rsidRPr="00A74219" w:rsidTr="00226BB9">
        <w:tc>
          <w:tcPr>
            <w:tcW w:w="4775" w:type="dxa"/>
            <w:shd w:val="clear" w:color="auto" w:fill="auto"/>
          </w:tcPr>
          <w:p w:rsidR="00226BB9" w:rsidRPr="00A74219" w:rsidRDefault="00226BB9" w:rsidP="00CE53DB">
            <w:pPr>
              <w:rPr>
                <w:rFonts w:ascii="Arial" w:hAnsi="Arial"/>
                <w:szCs w:val="20"/>
              </w:rPr>
            </w:pPr>
            <w:r>
              <w:rPr>
                <w:rFonts w:ascii="Arial" w:hAnsi="Arial"/>
                <w:szCs w:val="20"/>
              </w:rPr>
              <w:t xml:space="preserve">All settings </w:t>
            </w:r>
          </w:p>
        </w:tc>
        <w:tc>
          <w:tcPr>
            <w:tcW w:w="0" w:type="auto"/>
            <w:shd w:val="clear" w:color="auto" w:fill="auto"/>
          </w:tcPr>
          <w:p w:rsidR="00226BB9" w:rsidRPr="00E376A6" w:rsidRDefault="00226BB9" w:rsidP="00CE53DB">
            <w:pPr>
              <w:jc w:val="center"/>
              <w:rPr>
                <w:rFonts w:ascii="Arial" w:hAnsi="Arial"/>
                <w:szCs w:val="20"/>
              </w:rPr>
            </w:pPr>
            <w:r>
              <w:rPr>
                <w:rFonts w:ascii="Arial" w:hAnsi="Arial"/>
                <w:szCs w:val="20"/>
              </w:rPr>
              <w:t xml:space="preserve">£4.60 </w:t>
            </w:r>
          </w:p>
        </w:tc>
        <w:tc>
          <w:tcPr>
            <w:tcW w:w="2625" w:type="dxa"/>
          </w:tcPr>
          <w:p w:rsidR="00226BB9" w:rsidRPr="00E376A6" w:rsidRDefault="00226BB9" w:rsidP="00CE53DB">
            <w:pPr>
              <w:jc w:val="center"/>
              <w:rPr>
                <w:rFonts w:ascii="Arial" w:hAnsi="Arial"/>
                <w:szCs w:val="20"/>
              </w:rPr>
            </w:pPr>
            <w:r>
              <w:rPr>
                <w:rFonts w:ascii="Arial" w:hAnsi="Arial"/>
                <w:szCs w:val="20"/>
              </w:rPr>
              <w:t>Ranged between £3.68 and £5.40</w:t>
            </w:r>
          </w:p>
        </w:tc>
      </w:tr>
    </w:tbl>
    <w:p w:rsidR="00226BB9" w:rsidRDefault="00226BB9" w:rsidP="00226BB9">
      <w:pPr>
        <w:rPr>
          <w:rFonts w:ascii="Arial" w:hAnsi="Arial"/>
          <w:szCs w:val="20"/>
        </w:rPr>
      </w:pPr>
    </w:p>
    <w:p w:rsidR="00226BB9" w:rsidRDefault="00226BB9" w:rsidP="00226BB9">
      <w:pPr>
        <w:ind w:left="720"/>
        <w:rPr>
          <w:rFonts w:ascii="Arial" w:hAnsi="Arial"/>
          <w:szCs w:val="20"/>
        </w:rPr>
      </w:pPr>
    </w:p>
    <w:p w:rsidR="00226BB9" w:rsidRDefault="00226BB9" w:rsidP="00226BB9">
      <w:pPr>
        <w:numPr>
          <w:ilvl w:val="0"/>
          <w:numId w:val="8"/>
        </w:numPr>
        <w:tabs>
          <w:tab w:val="clear" w:pos="927"/>
          <w:tab w:val="num" w:pos="720"/>
        </w:tabs>
        <w:ind w:left="720" w:hanging="720"/>
        <w:rPr>
          <w:rFonts w:ascii="Arial" w:hAnsi="Arial"/>
          <w:szCs w:val="20"/>
        </w:rPr>
      </w:pPr>
      <w:r>
        <w:rPr>
          <w:rFonts w:ascii="Arial" w:hAnsi="Arial"/>
          <w:szCs w:val="20"/>
        </w:rPr>
        <w:t xml:space="preserve">Criteria for EYPP </w:t>
      </w:r>
      <w:r w:rsidRPr="004E1150">
        <w:rPr>
          <w:rFonts w:ascii="Arial" w:hAnsi="Arial"/>
          <w:szCs w:val="20"/>
        </w:rPr>
        <w:t xml:space="preserve">will be used as a measure of </w:t>
      </w:r>
      <w:r w:rsidRPr="00345CAC">
        <w:rPr>
          <w:rFonts w:ascii="Arial" w:hAnsi="Arial"/>
          <w:b/>
          <w:szCs w:val="20"/>
        </w:rPr>
        <w:t>deprivation</w:t>
      </w:r>
      <w:r w:rsidRPr="004E1150">
        <w:rPr>
          <w:rFonts w:ascii="Arial" w:hAnsi="Arial"/>
          <w:szCs w:val="20"/>
        </w:rPr>
        <w:t xml:space="preserve"> for 2017/16. The unit values are shown below. The previous measure was IDACI, </w:t>
      </w:r>
      <w:r>
        <w:rPr>
          <w:rFonts w:ascii="Arial" w:hAnsi="Arial"/>
          <w:szCs w:val="20"/>
        </w:rPr>
        <w:t>which used a</w:t>
      </w:r>
      <w:r w:rsidR="00201768">
        <w:rPr>
          <w:rFonts w:ascii="Arial" w:hAnsi="Arial"/>
          <w:szCs w:val="20"/>
        </w:rPr>
        <w:t xml:space="preserve"> suite of bands aligned to </w:t>
      </w:r>
      <w:r w:rsidRPr="004E1150">
        <w:rPr>
          <w:rFonts w:ascii="Arial" w:hAnsi="Arial"/>
          <w:szCs w:val="20"/>
        </w:rPr>
        <w:t>a</w:t>
      </w:r>
      <w:r>
        <w:rPr>
          <w:rFonts w:ascii="Arial" w:hAnsi="Arial"/>
          <w:szCs w:val="20"/>
        </w:rPr>
        <w:t xml:space="preserve"> </w:t>
      </w:r>
      <w:r w:rsidR="00C216B0">
        <w:rPr>
          <w:rFonts w:ascii="Arial" w:hAnsi="Arial"/>
          <w:szCs w:val="20"/>
        </w:rPr>
        <w:t>unit cost</w:t>
      </w:r>
      <w:r w:rsidRPr="004E1150">
        <w:rPr>
          <w:rFonts w:ascii="Arial" w:hAnsi="Arial"/>
          <w:szCs w:val="20"/>
        </w:rPr>
        <w:t xml:space="preserve"> used in accordance with postcode of wher</w:t>
      </w:r>
      <w:r>
        <w:rPr>
          <w:rFonts w:ascii="Arial" w:hAnsi="Arial"/>
          <w:szCs w:val="20"/>
        </w:rPr>
        <w:t>e</w:t>
      </w:r>
      <w:r w:rsidRPr="004E1150">
        <w:rPr>
          <w:rFonts w:ascii="Arial" w:hAnsi="Arial"/>
          <w:szCs w:val="20"/>
        </w:rPr>
        <w:t xml:space="preserve"> chid lived</w:t>
      </w:r>
      <w:r>
        <w:rPr>
          <w:rFonts w:ascii="Arial" w:hAnsi="Arial"/>
          <w:szCs w:val="20"/>
        </w:rPr>
        <w:t>.</w:t>
      </w: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252"/>
        <w:gridCol w:w="2575"/>
      </w:tblGrid>
      <w:tr w:rsidR="00226BB9" w:rsidRPr="00226BB9" w:rsidTr="00226BB9">
        <w:tc>
          <w:tcPr>
            <w:tcW w:w="4775" w:type="dxa"/>
            <w:shd w:val="clear" w:color="auto" w:fill="00B050"/>
          </w:tcPr>
          <w:p w:rsidR="00226BB9" w:rsidRPr="00226BB9" w:rsidRDefault="00226BB9" w:rsidP="00CE53DB">
            <w:pPr>
              <w:rPr>
                <w:rFonts w:ascii="Arial" w:hAnsi="Arial"/>
                <w:b/>
                <w:color w:val="FFFFFF" w:themeColor="background1"/>
                <w:szCs w:val="20"/>
              </w:rPr>
            </w:pPr>
          </w:p>
          <w:p w:rsidR="00226BB9" w:rsidRPr="00226BB9" w:rsidRDefault="00226BB9" w:rsidP="00CE53DB">
            <w:pPr>
              <w:rPr>
                <w:rFonts w:ascii="Arial" w:hAnsi="Arial"/>
                <w:b/>
                <w:color w:val="FFFFFF" w:themeColor="background1"/>
                <w:szCs w:val="20"/>
              </w:rPr>
            </w:pPr>
            <w:r w:rsidRPr="00226BB9">
              <w:rPr>
                <w:rFonts w:ascii="Arial" w:hAnsi="Arial"/>
                <w:b/>
                <w:color w:val="FFFFFF" w:themeColor="background1"/>
                <w:szCs w:val="20"/>
              </w:rPr>
              <w:t>Description</w:t>
            </w:r>
          </w:p>
        </w:tc>
        <w:tc>
          <w:tcPr>
            <w:tcW w:w="0" w:type="auto"/>
            <w:shd w:val="clear" w:color="auto" w:fill="00B050"/>
          </w:tcPr>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2017/18 Rate</w:t>
            </w:r>
          </w:p>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w:t>
            </w:r>
          </w:p>
        </w:tc>
        <w:tc>
          <w:tcPr>
            <w:tcW w:w="2575" w:type="dxa"/>
            <w:shd w:val="clear" w:color="auto" w:fill="00B050"/>
          </w:tcPr>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2016/17                Rate</w:t>
            </w:r>
          </w:p>
          <w:p w:rsidR="00226BB9" w:rsidRPr="00226BB9" w:rsidRDefault="00226BB9" w:rsidP="00CE53DB">
            <w:pPr>
              <w:jc w:val="center"/>
              <w:rPr>
                <w:rFonts w:ascii="Arial" w:hAnsi="Arial"/>
                <w:b/>
                <w:color w:val="FFFFFF" w:themeColor="background1"/>
                <w:szCs w:val="20"/>
              </w:rPr>
            </w:pPr>
            <w:r w:rsidRPr="00226BB9">
              <w:rPr>
                <w:rFonts w:ascii="Arial" w:hAnsi="Arial"/>
                <w:b/>
                <w:color w:val="FFFFFF" w:themeColor="background1"/>
                <w:szCs w:val="20"/>
              </w:rPr>
              <w:t>£</w:t>
            </w:r>
          </w:p>
        </w:tc>
      </w:tr>
      <w:tr w:rsidR="00226BB9" w:rsidRPr="00A74219" w:rsidTr="00226BB9">
        <w:tc>
          <w:tcPr>
            <w:tcW w:w="4775" w:type="dxa"/>
            <w:shd w:val="clear" w:color="auto" w:fill="auto"/>
          </w:tcPr>
          <w:p w:rsidR="00226BB9" w:rsidRPr="00A74219" w:rsidRDefault="00226BB9" w:rsidP="00CE53DB">
            <w:pPr>
              <w:rPr>
                <w:rFonts w:ascii="Arial" w:hAnsi="Arial"/>
                <w:szCs w:val="20"/>
              </w:rPr>
            </w:pPr>
            <w:r>
              <w:rPr>
                <w:rFonts w:ascii="Arial" w:hAnsi="Arial"/>
                <w:szCs w:val="20"/>
              </w:rPr>
              <w:t>Criteria for EYPP</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70p</w:t>
            </w:r>
          </w:p>
        </w:tc>
        <w:tc>
          <w:tcPr>
            <w:tcW w:w="2575" w:type="dxa"/>
          </w:tcPr>
          <w:p w:rsidR="00226BB9" w:rsidRPr="00A74219" w:rsidRDefault="00226BB9" w:rsidP="00226BB9">
            <w:pPr>
              <w:jc w:val="center"/>
              <w:rPr>
                <w:rFonts w:ascii="Arial" w:hAnsi="Arial"/>
                <w:szCs w:val="20"/>
              </w:rPr>
            </w:pPr>
            <w:r>
              <w:rPr>
                <w:rFonts w:ascii="Arial" w:hAnsi="Arial"/>
                <w:szCs w:val="20"/>
              </w:rPr>
              <w:t>Ranged between 15p and 40p (IDACI)</w:t>
            </w:r>
          </w:p>
        </w:tc>
      </w:tr>
    </w:tbl>
    <w:p w:rsidR="00226BB9" w:rsidRPr="0019374C" w:rsidRDefault="00226BB9" w:rsidP="00226BB9">
      <w:pPr>
        <w:rPr>
          <w:rFonts w:ascii="Arial" w:hAnsi="Arial"/>
          <w:szCs w:val="20"/>
        </w:rPr>
      </w:pPr>
    </w:p>
    <w:p w:rsidR="00226BB9" w:rsidRDefault="00226BB9" w:rsidP="00226BB9">
      <w:pPr>
        <w:numPr>
          <w:ilvl w:val="0"/>
          <w:numId w:val="8"/>
        </w:numPr>
        <w:tabs>
          <w:tab w:val="clear" w:pos="927"/>
        </w:tabs>
        <w:ind w:left="720" w:hanging="720"/>
        <w:rPr>
          <w:rFonts w:ascii="Arial" w:hAnsi="Arial"/>
          <w:szCs w:val="20"/>
        </w:rPr>
      </w:pPr>
      <w:r>
        <w:rPr>
          <w:rFonts w:ascii="Arial" w:hAnsi="Arial"/>
          <w:szCs w:val="20"/>
        </w:rPr>
        <w:t xml:space="preserve">The table below shows the optional supplementary supplement for </w:t>
      </w:r>
      <w:r w:rsidRPr="00345CAC">
        <w:rPr>
          <w:rFonts w:ascii="Arial" w:hAnsi="Arial"/>
          <w:b/>
          <w:szCs w:val="20"/>
        </w:rPr>
        <w:t>“sparsity”</w:t>
      </w:r>
      <w:r>
        <w:rPr>
          <w:rFonts w:ascii="Arial" w:hAnsi="Arial"/>
          <w:szCs w:val="20"/>
        </w:rPr>
        <w:t xml:space="preserve"> </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7767BA" w:rsidRPr="007767BA" w:rsidTr="007767BA">
        <w:tc>
          <w:tcPr>
            <w:tcW w:w="5688" w:type="dxa"/>
            <w:shd w:val="clear" w:color="auto" w:fill="00B050"/>
          </w:tcPr>
          <w:p w:rsidR="00226BB9" w:rsidRPr="007767BA" w:rsidRDefault="00226BB9" w:rsidP="00CE53DB">
            <w:pPr>
              <w:rPr>
                <w:rFonts w:ascii="Arial" w:hAnsi="Arial"/>
                <w:b/>
                <w:color w:val="FFFFFF" w:themeColor="background1"/>
                <w:szCs w:val="20"/>
              </w:rPr>
            </w:pPr>
          </w:p>
          <w:p w:rsidR="00226BB9" w:rsidRPr="007767BA" w:rsidRDefault="00226BB9" w:rsidP="00CE53DB">
            <w:pPr>
              <w:rPr>
                <w:rFonts w:ascii="Arial" w:hAnsi="Arial"/>
                <w:b/>
                <w:color w:val="FFFFFF" w:themeColor="background1"/>
                <w:szCs w:val="20"/>
              </w:rPr>
            </w:pPr>
            <w:r w:rsidRPr="007767BA">
              <w:rPr>
                <w:rFonts w:ascii="Arial" w:hAnsi="Arial"/>
                <w:b/>
                <w:color w:val="FFFFFF" w:themeColor="background1"/>
                <w:szCs w:val="20"/>
              </w:rPr>
              <w:t>Description</w:t>
            </w:r>
          </w:p>
        </w:tc>
        <w:tc>
          <w:tcPr>
            <w:tcW w:w="0" w:type="auto"/>
            <w:shd w:val="clear" w:color="auto" w:fill="00B050"/>
          </w:tcPr>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2017/18</w:t>
            </w:r>
            <w:r w:rsidR="007767BA">
              <w:rPr>
                <w:rFonts w:ascii="Arial" w:hAnsi="Arial"/>
                <w:b/>
                <w:color w:val="FFFFFF" w:themeColor="background1"/>
                <w:szCs w:val="20"/>
              </w:rPr>
              <w:t xml:space="preserve"> </w:t>
            </w:r>
            <w:r w:rsidRPr="007767BA">
              <w:rPr>
                <w:rFonts w:ascii="Arial" w:hAnsi="Arial"/>
                <w:b/>
                <w:color w:val="FFFFFF" w:themeColor="background1"/>
                <w:szCs w:val="20"/>
              </w:rPr>
              <w:t>Rate</w:t>
            </w:r>
          </w:p>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w:t>
            </w:r>
          </w:p>
        </w:tc>
        <w:tc>
          <w:tcPr>
            <w:tcW w:w="0" w:type="auto"/>
            <w:shd w:val="clear" w:color="auto" w:fill="00B050"/>
          </w:tcPr>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2016/17 Rate</w:t>
            </w:r>
          </w:p>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w:t>
            </w:r>
          </w:p>
        </w:tc>
      </w:tr>
      <w:tr w:rsidR="00226BB9" w:rsidRPr="00A74219" w:rsidTr="00CE53DB">
        <w:tc>
          <w:tcPr>
            <w:tcW w:w="5688" w:type="dxa"/>
            <w:shd w:val="clear" w:color="auto" w:fill="auto"/>
          </w:tcPr>
          <w:p w:rsidR="00226BB9" w:rsidRPr="00A74219" w:rsidRDefault="00226BB9" w:rsidP="00CE53DB">
            <w:pPr>
              <w:rPr>
                <w:rFonts w:ascii="Arial" w:hAnsi="Arial"/>
                <w:szCs w:val="20"/>
              </w:rPr>
            </w:pPr>
            <w:r>
              <w:rPr>
                <w:rFonts w:ascii="Arial" w:hAnsi="Arial"/>
                <w:szCs w:val="20"/>
              </w:rPr>
              <w:t xml:space="preserve">Sparsity/small providers child-minders </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80p</w:t>
            </w:r>
          </w:p>
        </w:tc>
        <w:tc>
          <w:tcPr>
            <w:tcW w:w="0" w:type="auto"/>
          </w:tcPr>
          <w:p w:rsidR="00226BB9" w:rsidRPr="00A74219" w:rsidRDefault="00226BB9" w:rsidP="00CE53DB">
            <w:pPr>
              <w:jc w:val="center"/>
              <w:rPr>
                <w:rFonts w:ascii="Arial" w:hAnsi="Arial"/>
                <w:szCs w:val="20"/>
              </w:rPr>
            </w:pPr>
            <w:r>
              <w:rPr>
                <w:rFonts w:ascii="Arial" w:hAnsi="Arial"/>
                <w:szCs w:val="20"/>
              </w:rPr>
              <w:t>N/A</w:t>
            </w:r>
          </w:p>
        </w:tc>
      </w:tr>
    </w:tbl>
    <w:p w:rsidR="00226BB9" w:rsidRPr="004E1150" w:rsidRDefault="00226BB9" w:rsidP="00226BB9">
      <w:pPr>
        <w:rPr>
          <w:rFonts w:ascii="Arial" w:hAnsi="Arial"/>
          <w:szCs w:val="20"/>
        </w:rPr>
      </w:pPr>
    </w:p>
    <w:p w:rsidR="00226BB9" w:rsidRDefault="00226BB9" w:rsidP="00226BB9">
      <w:pPr>
        <w:rPr>
          <w:rFonts w:ascii="Arial" w:hAnsi="Arial"/>
          <w:b/>
          <w:szCs w:val="20"/>
        </w:rPr>
      </w:pPr>
      <w:r>
        <w:rPr>
          <w:rFonts w:ascii="Arial" w:hAnsi="Arial"/>
          <w:szCs w:val="20"/>
        </w:rPr>
        <w:t xml:space="preserve">         </w:t>
      </w:r>
      <w:r w:rsidR="007767BA">
        <w:rPr>
          <w:rFonts w:ascii="Arial" w:hAnsi="Arial"/>
          <w:b/>
          <w:szCs w:val="20"/>
        </w:rPr>
        <w:t xml:space="preserve">Outside of formula: </w:t>
      </w:r>
      <w:r>
        <w:rPr>
          <w:rFonts w:ascii="Arial" w:hAnsi="Arial"/>
          <w:b/>
          <w:szCs w:val="20"/>
        </w:rPr>
        <w:t>SEN Inclusion Fund</w:t>
      </w:r>
    </w:p>
    <w:p w:rsidR="00226BB9" w:rsidRPr="00CB71F9" w:rsidRDefault="00226BB9" w:rsidP="00226BB9">
      <w:pPr>
        <w:rPr>
          <w:rFonts w:ascii="Arial" w:hAnsi="Arial"/>
          <w:b/>
          <w:szCs w:val="20"/>
        </w:rPr>
      </w:pPr>
    </w:p>
    <w:p w:rsidR="00226BB9" w:rsidRDefault="00226BB9" w:rsidP="00226BB9">
      <w:pPr>
        <w:numPr>
          <w:ilvl w:val="0"/>
          <w:numId w:val="8"/>
        </w:numPr>
        <w:tabs>
          <w:tab w:val="clear" w:pos="927"/>
          <w:tab w:val="num" w:pos="567"/>
        </w:tabs>
        <w:ind w:left="567"/>
        <w:rPr>
          <w:rFonts w:ascii="Arial" w:hAnsi="Arial"/>
          <w:szCs w:val="20"/>
        </w:rPr>
      </w:pPr>
      <w:r>
        <w:rPr>
          <w:rFonts w:ascii="Arial" w:hAnsi="Arial"/>
          <w:szCs w:val="20"/>
        </w:rPr>
        <w:t xml:space="preserve">The table below shows the new mandatory </w:t>
      </w:r>
      <w:r w:rsidRPr="00345CAC">
        <w:rPr>
          <w:rFonts w:ascii="Arial" w:hAnsi="Arial"/>
          <w:b/>
          <w:szCs w:val="20"/>
        </w:rPr>
        <w:t>SEN inclusion  Fund</w:t>
      </w:r>
      <w:r>
        <w:rPr>
          <w:rFonts w:ascii="Arial" w:hAnsi="Arial"/>
          <w:szCs w:val="20"/>
        </w:rPr>
        <w:t xml:space="preserve"> pupil rates (3 and 4 year olds)</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7767BA" w:rsidRPr="007767BA" w:rsidTr="007767BA">
        <w:tc>
          <w:tcPr>
            <w:tcW w:w="5688" w:type="dxa"/>
            <w:shd w:val="clear" w:color="auto" w:fill="00B050"/>
          </w:tcPr>
          <w:p w:rsidR="00226BB9" w:rsidRPr="007767BA" w:rsidRDefault="00226BB9" w:rsidP="00CE53DB">
            <w:pPr>
              <w:rPr>
                <w:rFonts w:ascii="Arial" w:hAnsi="Arial"/>
                <w:b/>
                <w:color w:val="FFFFFF" w:themeColor="background1"/>
                <w:szCs w:val="20"/>
              </w:rPr>
            </w:pPr>
          </w:p>
          <w:p w:rsidR="00226BB9" w:rsidRPr="007767BA" w:rsidRDefault="00226BB9" w:rsidP="00CE53DB">
            <w:pPr>
              <w:rPr>
                <w:rFonts w:ascii="Arial" w:hAnsi="Arial"/>
                <w:b/>
                <w:color w:val="FFFFFF" w:themeColor="background1"/>
                <w:szCs w:val="20"/>
              </w:rPr>
            </w:pPr>
            <w:r w:rsidRPr="007767BA">
              <w:rPr>
                <w:rFonts w:ascii="Arial" w:hAnsi="Arial"/>
                <w:b/>
                <w:color w:val="FFFFFF" w:themeColor="background1"/>
                <w:szCs w:val="20"/>
              </w:rPr>
              <w:t>Description</w:t>
            </w:r>
          </w:p>
        </w:tc>
        <w:tc>
          <w:tcPr>
            <w:tcW w:w="0" w:type="auto"/>
            <w:shd w:val="clear" w:color="auto" w:fill="00B050"/>
          </w:tcPr>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2017/18</w:t>
            </w:r>
            <w:r w:rsidR="007767BA">
              <w:rPr>
                <w:rFonts w:ascii="Arial" w:hAnsi="Arial"/>
                <w:b/>
                <w:color w:val="FFFFFF" w:themeColor="background1"/>
                <w:szCs w:val="20"/>
              </w:rPr>
              <w:t xml:space="preserve">  </w:t>
            </w:r>
            <w:r w:rsidRPr="007767BA">
              <w:rPr>
                <w:rFonts w:ascii="Arial" w:hAnsi="Arial"/>
                <w:b/>
                <w:color w:val="FFFFFF" w:themeColor="background1"/>
                <w:szCs w:val="20"/>
              </w:rPr>
              <w:t>Rate</w:t>
            </w:r>
          </w:p>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w:t>
            </w:r>
          </w:p>
        </w:tc>
        <w:tc>
          <w:tcPr>
            <w:tcW w:w="0" w:type="auto"/>
            <w:shd w:val="clear" w:color="auto" w:fill="00B050"/>
          </w:tcPr>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2016/17 Rate</w:t>
            </w:r>
          </w:p>
          <w:p w:rsidR="00226BB9" w:rsidRPr="007767BA" w:rsidRDefault="00226BB9" w:rsidP="00CE53DB">
            <w:pPr>
              <w:jc w:val="center"/>
              <w:rPr>
                <w:rFonts w:ascii="Arial" w:hAnsi="Arial"/>
                <w:b/>
                <w:color w:val="FFFFFF" w:themeColor="background1"/>
                <w:szCs w:val="20"/>
              </w:rPr>
            </w:pPr>
            <w:r w:rsidRPr="007767BA">
              <w:rPr>
                <w:rFonts w:ascii="Arial" w:hAnsi="Arial"/>
                <w:b/>
                <w:color w:val="FFFFFF" w:themeColor="background1"/>
                <w:szCs w:val="20"/>
              </w:rPr>
              <w:t>£</w:t>
            </w:r>
          </w:p>
        </w:tc>
      </w:tr>
      <w:tr w:rsidR="00226BB9" w:rsidRPr="00A74219" w:rsidTr="00CE53DB">
        <w:tc>
          <w:tcPr>
            <w:tcW w:w="5688" w:type="dxa"/>
            <w:shd w:val="clear" w:color="auto" w:fill="auto"/>
          </w:tcPr>
          <w:p w:rsidR="00226BB9" w:rsidRPr="00805BC5" w:rsidRDefault="00226BB9" w:rsidP="00CE53DB">
            <w:pPr>
              <w:rPr>
                <w:rFonts w:ascii="Arial" w:hAnsi="Arial"/>
                <w:b/>
                <w:szCs w:val="20"/>
              </w:rPr>
            </w:pPr>
            <w:r w:rsidRPr="00805BC5">
              <w:rPr>
                <w:rFonts w:ascii="Arial" w:hAnsi="Arial"/>
                <w:b/>
                <w:szCs w:val="20"/>
              </w:rPr>
              <w:t xml:space="preserve">SEN Inclusion Fund </w:t>
            </w:r>
          </w:p>
        </w:tc>
        <w:tc>
          <w:tcPr>
            <w:tcW w:w="0" w:type="auto"/>
            <w:shd w:val="clear" w:color="auto" w:fill="auto"/>
          </w:tcPr>
          <w:p w:rsidR="00226BB9" w:rsidRPr="00A74219" w:rsidRDefault="00226BB9" w:rsidP="00CE53DB">
            <w:pPr>
              <w:jc w:val="center"/>
              <w:rPr>
                <w:rFonts w:ascii="Arial" w:hAnsi="Arial"/>
                <w:szCs w:val="20"/>
              </w:rPr>
            </w:pPr>
          </w:p>
        </w:tc>
        <w:tc>
          <w:tcPr>
            <w:tcW w:w="0" w:type="auto"/>
          </w:tcPr>
          <w:p w:rsidR="00226BB9" w:rsidRPr="00A74219" w:rsidRDefault="00226BB9" w:rsidP="00CE53DB">
            <w:pPr>
              <w:jc w:val="center"/>
              <w:rPr>
                <w:rFonts w:ascii="Arial" w:hAnsi="Arial"/>
                <w:szCs w:val="20"/>
              </w:rPr>
            </w:pPr>
          </w:p>
        </w:tc>
      </w:tr>
      <w:tr w:rsidR="00226BB9" w:rsidRPr="00A74219" w:rsidTr="00CE53DB">
        <w:tc>
          <w:tcPr>
            <w:tcW w:w="5688" w:type="dxa"/>
            <w:shd w:val="clear" w:color="auto" w:fill="auto"/>
          </w:tcPr>
          <w:p w:rsidR="00226BB9" w:rsidRDefault="00226BB9" w:rsidP="00CE53DB">
            <w:pPr>
              <w:rPr>
                <w:rFonts w:ascii="Arial" w:hAnsi="Arial"/>
                <w:szCs w:val="20"/>
              </w:rPr>
            </w:pPr>
            <w:r w:rsidRPr="00F978FC">
              <w:rPr>
                <w:rFonts w:ascii="Arial" w:hAnsi="Arial" w:cs="Arial"/>
              </w:rPr>
              <w:t>SEN Support Level 1a (local offer)</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nil</w:t>
            </w:r>
          </w:p>
        </w:tc>
        <w:tc>
          <w:tcPr>
            <w:tcW w:w="0" w:type="auto"/>
          </w:tcPr>
          <w:p w:rsidR="00226BB9" w:rsidRPr="00A74219" w:rsidRDefault="00226BB9" w:rsidP="00CE53DB">
            <w:pPr>
              <w:jc w:val="center"/>
              <w:rPr>
                <w:rFonts w:ascii="Arial" w:hAnsi="Arial"/>
                <w:szCs w:val="20"/>
              </w:rPr>
            </w:pPr>
            <w:r>
              <w:rPr>
                <w:rFonts w:ascii="Arial" w:hAnsi="Arial"/>
                <w:szCs w:val="20"/>
              </w:rPr>
              <w:t>nil</w:t>
            </w:r>
          </w:p>
        </w:tc>
      </w:tr>
      <w:tr w:rsidR="00226BB9" w:rsidRPr="00A74219" w:rsidTr="00CE53DB">
        <w:tc>
          <w:tcPr>
            <w:tcW w:w="5688" w:type="dxa"/>
            <w:shd w:val="clear" w:color="auto" w:fill="auto"/>
          </w:tcPr>
          <w:p w:rsidR="00226BB9" w:rsidRDefault="00226BB9" w:rsidP="00CE53DB">
            <w:pPr>
              <w:rPr>
                <w:rFonts w:ascii="Arial" w:hAnsi="Arial"/>
                <w:szCs w:val="20"/>
              </w:rPr>
            </w:pPr>
            <w:r w:rsidRPr="00F978FC">
              <w:rPr>
                <w:rFonts w:ascii="Arial" w:hAnsi="Arial" w:cs="Arial"/>
              </w:rPr>
              <w:t>SEN Support Level 1b</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£2.50</w:t>
            </w:r>
          </w:p>
        </w:tc>
        <w:tc>
          <w:tcPr>
            <w:tcW w:w="0" w:type="auto"/>
          </w:tcPr>
          <w:p w:rsidR="00226BB9" w:rsidRPr="00A74219" w:rsidRDefault="00226BB9" w:rsidP="00CE53DB">
            <w:pPr>
              <w:jc w:val="center"/>
              <w:rPr>
                <w:rFonts w:ascii="Arial" w:hAnsi="Arial"/>
                <w:szCs w:val="20"/>
              </w:rPr>
            </w:pPr>
            <w:r>
              <w:rPr>
                <w:rFonts w:ascii="Arial" w:hAnsi="Arial"/>
                <w:szCs w:val="20"/>
              </w:rPr>
              <w:t>£2.50</w:t>
            </w:r>
          </w:p>
        </w:tc>
      </w:tr>
      <w:tr w:rsidR="00226BB9" w:rsidRPr="00A74219" w:rsidTr="00CE53DB">
        <w:tc>
          <w:tcPr>
            <w:tcW w:w="5688" w:type="dxa"/>
            <w:shd w:val="clear" w:color="auto" w:fill="auto"/>
          </w:tcPr>
          <w:p w:rsidR="00226BB9" w:rsidRDefault="00226BB9" w:rsidP="00CE53DB">
            <w:pPr>
              <w:rPr>
                <w:rFonts w:ascii="Arial" w:hAnsi="Arial"/>
                <w:szCs w:val="20"/>
              </w:rPr>
            </w:pPr>
            <w:r w:rsidRPr="00F978FC">
              <w:rPr>
                <w:rFonts w:ascii="Arial" w:hAnsi="Arial" w:cs="Arial"/>
              </w:rPr>
              <w:t>SEN Support Level 1c</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£5.26 + 1b (£7.26)</w:t>
            </w:r>
          </w:p>
        </w:tc>
        <w:tc>
          <w:tcPr>
            <w:tcW w:w="0" w:type="auto"/>
          </w:tcPr>
          <w:p w:rsidR="00226BB9" w:rsidRPr="00A74219" w:rsidRDefault="00226BB9" w:rsidP="00CE53DB">
            <w:pPr>
              <w:jc w:val="center"/>
              <w:rPr>
                <w:rFonts w:ascii="Arial" w:hAnsi="Arial"/>
                <w:szCs w:val="20"/>
              </w:rPr>
            </w:pPr>
            <w:r>
              <w:rPr>
                <w:rFonts w:ascii="Arial" w:hAnsi="Arial"/>
                <w:szCs w:val="20"/>
              </w:rPr>
              <w:t>£5.26 + 1b (£7.26)</w:t>
            </w:r>
          </w:p>
        </w:tc>
      </w:tr>
    </w:tbl>
    <w:p w:rsidR="00226BB9" w:rsidRPr="00805BC5" w:rsidRDefault="00226BB9" w:rsidP="00226BB9">
      <w:pPr>
        <w:numPr>
          <w:ilvl w:val="0"/>
          <w:numId w:val="8"/>
        </w:numPr>
        <w:tabs>
          <w:tab w:val="clear" w:pos="927"/>
          <w:tab w:val="num" w:pos="720"/>
        </w:tabs>
        <w:ind w:left="720" w:hanging="720"/>
        <w:rPr>
          <w:rFonts w:ascii="Arial" w:hAnsi="Arial"/>
          <w:szCs w:val="20"/>
        </w:rPr>
      </w:pPr>
      <w:r>
        <w:rPr>
          <w:rFonts w:ascii="Arial" w:hAnsi="Arial" w:cs="Arial"/>
        </w:rPr>
        <w:lastRenderedPageBreak/>
        <w:t>SEN funding is allocated in accordance with the agreed process</w:t>
      </w:r>
      <w:r w:rsidRPr="008E0A43">
        <w:rPr>
          <w:rFonts w:ascii="Arial" w:hAnsi="Arial" w:cs="Arial"/>
        </w:rPr>
        <w:t>. This ceases when the EHCP is issued and funding is allocated in accordance with the EHCP EY banding through the High Needs Block. EHCP are funded on a pro-rata basis and based on actual hours and number of weeks of attendance. This will ensure SEN funding for children is seamless and on a continuum as they progress through each stage.</w:t>
      </w:r>
    </w:p>
    <w:p w:rsidR="00226BB9" w:rsidRPr="008E0A43" w:rsidRDefault="00226BB9" w:rsidP="00226BB9">
      <w:pPr>
        <w:ind w:left="720"/>
        <w:rPr>
          <w:rFonts w:ascii="Arial" w:hAnsi="Arial"/>
          <w:szCs w:val="20"/>
        </w:rPr>
      </w:pPr>
    </w:p>
    <w:p w:rsidR="00226BB9" w:rsidRPr="00805BC5" w:rsidRDefault="00226BB9" w:rsidP="00226BB9">
      <w:pPr>
        <w:ind w:left="720"/>
        <w:rPr>
          <w:rFonts w:ascii="Arial" w:hAnsi="Arial"/>
          <w:b/>
          <w:szCs w:val="20"/>
        </w:rPr>
      </w:pPr>
      <w:r w:rsidRPr="00805BC5">
        <w:rPr>
          <w:rFonts w:ascii="Arial" w:hAnsi="Arial"/>
          <w:b/>
          <w:szCs w:val="20"/>
        </w:rPr>
        <w:t>Outside of formula</w:t>
      </w:r>
      <w:r w:rsidR="007767BA">
        <w:rPr>
          <w:rFonts w:ascii="Arial" w:hAnsi="Arial"/>
          <w:b/>
          <w:szCs w:val="20"/>
        </w:rPr>
        <w:t xml:space="preserve">: </w:t>
      </w:r>
      <w:r>
        <w:rPr>
          <w:rFonts w:ascii="Arial" w:hAnsi="Arial"/>
          <w:b/>
          <w:szCs w:val="20"/>
        </w:rPr>
        <w:t>C</w:t>
      </w:r>
      <w:r w:rsidRPr="00805BC5">
        <w:rPr>
          <w:rFonts w:ascii="Arial" w:hAnsi="Arial"/>
          <w:b/>
          <w:szCs w:val="20"/>
        </w:rPr>
        <w:t xml:space="preserve">ontingency </w:t>
      </w:r>
    </w:p>
    <w:p w:rsidR="00226BB9" w:rsidRPr="008E0A43" w:rsidRDefault="00226BB9" w:rsidP="00226BB9">
      <w:pPr>
        <w:ind w:left="720"/>
        <w:rPr>
          <w:rFonts w:ascii="Arial" w:hAnsi="Arial"/>
          <w:szCs w:val="20"/>
        </w:rPr>
      </w:pPr>
    </w:p>
    <w:p w:rsidR="00226BB9" w:rsidRDefault="00226BB9" w:rsidP="00925822">
      <w:pPr>
        <w:numPr>
          <w:ilvl w:val="0"/>
          <w:numId w:val="8"/>
        </w:numPr>
        <w:tabs>
          <w:tab w:val="clear" w:pos="927"/>
          <w:tab w:val="num" w:pos="720"/>
        </w:tabs>
        <w:ind w:left="720" w:hanging="720"/>
        <w:rPr>
          <w:rFonts w:ascii="Arial" w:hAnsi="Arial"/>
          <w:szCs w:val="20"/>
        </w:rPr>
      </w:pPr>
      <w:r>
        <w:rPr>
          <w:rFonts w:ascii="Arial" w:hAnsi="Arial"/>
          <w:szCs w:val="20"/>
        </w:rPr>
        <w:t xml:space="preserve">There are several components to the contingency </w:t>
      </w:r>
      <w:r w:rsidR="00800510">
        <w:rPr>
          <w:rFonts w:ascii="Arial" w:hAnsi="Arial"/>
          <w:szCs w:val="20"/>
        </w:rPr>
        <w:t>for 3 and 4 year olds:</w:t>
      </w:r>
      <w:r>
        <w:rPr>
          <w:rFonts w:ascii="Arial" w:hAnsi="Arial"/>
          <w:szCs w:val="20"/>
        </w:rPr>
        <w:t xml:space="preserve"> </w:t>
      </w:r>
    </w:p>
    <w:p w:rsidR="00226BB9" w:rsidRDefault="00226BB9" w:rsidP="00226BB9">
      <w:pPr>
        <w:pStyle w:val="ListParagraph"/>
        <w:numPr>
          <w:ilvl w:val="0"/>
          <w:numId w:val="13"/>
        </w:numPr>
        <w:rPr>
          <w:rFonts w:ascii="Arial" w:hAnsi="Arial"/>
          <w:szCs w:val="20"/>
        </w:rPr>
      </w:pPr>
      <w:r>
        <w:rPr>
          <w:rFonts w:ascii="Arial" w:hAnsi="Arial"/>
          <w:szCs w:val="20"/>
        </w:rPr>
        <w:t>A contingency to support any in year growth for SEN support and or deprivation supplements and includes an element for late starters (</w:t>
      </w:r>
      <w:r w:rsidR="007767BA">
        <w:rPr>
          <w:rFonts w:ascii="Arial" w:hAnsi="Arial"/>
          <w:szCs w:val="20"/>
        </w:rPr>
        <w:t>not on headcount).</w:t>
      </w:r>
    </w:p>
    <w:p w:rsidR="00226BB9" w:rsidRDefault="00226BB9" w:rsidP="00226BB9">
      <w:pPr>
        <w:pStyle w:val="ListParagraph"/>
        <w:numPr>
          <w:ilvl w:val="0"/>
          <w:numId w:val="13"/>
        </w:numPr>
        <w:rPr>
          <w:rFonts w:ascii="Arial" w:hAnsi="Arial"/>
          <w:szCs w:val="20"/>
        </w:rPr>
      </w:pPr>
      <w:r>
        <w:rPr>
          <w:rFonts w:ascii="Arial" w:hAnsi="Arial"/>
          <w:szCs w:val="20"/>
        </w:rPr>
        <w:t>The budget this year</w:t>
      </w:r>
      <w:r w:rsidRPr="002A5FF2">
        <w:rPr>
          <w:rFonts w:ascii="Arial" w:hAnsi="Arial"/>
          <w:szCs w:val="20"/>
        </w:rPr>
        <w:t xml:space="preserve"> has an indicative allocation for the new Extended Entitlement (EE) from September 2017</w:t>
      </w:r>
      <w:r w:rsidR="007767BA">
        <w:rPr>
          <w:rFonts w:ascii="Arial" w:hAnsi="Arial"/>
          <w:szCs w:val="20"/>
        </w:rPr>
        <w:t xml:space="preserve">. Our anticipated take-up is much less than the government allocation and </w:t>
      </w:r>
      <w:r>
        <w:rPr>
          <w:rFonts w:ascii="Arial" w:hAnsi="Arial"/>
          <w:szCs w:val="20"/>
        </w:rPr>
        <w:t>as this budget has not been allocated to the s</w:t>
      </w:r>
      <w:r w:rsidR="007767BA">
        <w:rPr>
          <w:rFonts w:ascii="Arial" w:hAnsi="Arial"/>
          <w:szCs w:val="20"/>
        </w:rPr>
        <w:t>ector this will be held within contingency.</w:t>
      </w:r>
    </w:p>
    <w:p w:rsidR="00226BB9" w:rsidRDefault="00226BB9" w:rsidP="00226BB9">
      <w:pPr>
        <w:pStyle w:val="ListParagraph"/>
        <w:numPr>
          <w:ilvl w:val="0"/>
          <w:numId w:val="13"/>
        </w:numPr>
        <w:rPr>
          <w:rFonts w:ascii="Arial" w:hAnsi="Arial"/>
          <w:szCs w:val="20"/>
        </w:rPr>
      </w:pPr>
      <w:r>
        <w:rPr>
          <w:rFonts w:ascii="Arial" w:hAnsi="Arial"/>
          <w:szCs w:val="20"/>
        </w:rPr>
        <w:t>The DFE have allocated indicative budgets based on a specific point in time and based on an estimated number of taking up the Universal Entitlement (UE) as well as the EE. Local estimates indicate that not all places will be taken up as specified by DfE and the estimated grant that will be paid b</w:t>
      </w:r>
      <w:r w:rsidR="007767BA">
        <w:rPr>
          <w:rFonts w:ascii="Arial" w:hAnsi="Arial"/>
          <w:szCs w:val="20"/>
        </w:rPr>
        <w:t>ack to the DfE is also held in contingency.</w:t>
      </w:r>
    </w:p>
    <w:p w:rsidR="00226BB9" w:rsidRPr="002A5FF2" w:rsidRDefault="00226BB9" w:rsidP="00226BB9">
      <w:pPr>
        <w:pStyle w:val="ListParagraph"/>
        <w:ind w:left="1440"/>
        <w:rPr>
          <w:rFonts w:ascii="Arial" w:hAnsi="Arial"/>
          <w:szCs w:val="20"/>
        </w:rPr>
      </w:pPr>
    </w:p>
    <w:p w:rsidR="00226BB9" w:rsidRDefault="00226BB9" w:rsidP="00226BB9">
      <w:pPr>
        <w:numPr>
          <w:ilvl w:val="0"/>
          <w:numId w:val="8"/>
        </w:numPr>
        <w:tabs>
          <w:tab w:val="clear" w:pos="927"/>
          <w:tab w:val="num" w:pos="720"/>
        </w:tabs>
        <w:ind w:left="720" w:hanging="720"/>
        <w:rPr>
          <w:rFonts w:ascii="Arial" w:hAnsi="Arial"/>
          <w:szCs w:val="20"/>
        </w:rPr>
      </w:pPr>
      <w:r>
        <w:rPr>
          <w:rFonts w:ascii="Arial" w:hAnsi="Arial"/>
          <w:szCs w:val="20"/>
        </w:rPr>
        <w:t xml:space="preserve">The contingency is included as part of the high pass through rate and as such will be allocated across the sector in accordance with agreed methodology. See table </w:t>
      </w:r>
      <w:r w:rsidR="0099276E">
        <w:rPr>
          <w:rFonts w:ascii="Arial" w:hAnsi="Arial"/>
          <w:szCs w:val="20"/>
        </w:rPr>
        <w:t>in paragraph 2.6</w:t>
      </w:r>
      <w:r>
        <w:rPr>
          <w:rFonts w:ascii="Arial" w:hAnsi="Arial"/>
          <w:szCs w:val="20"/>
        </w:rPr>
        <w:t xml:space="preserve"> for each part of the contingency budget</w:t>
      </w:r>
    </w:p>
    <w:p w:rsidR="00226BB9" w:rsidRDefault="00226BB9" w:rsidP="00226BB9">
      <w:pPr>
        <w:ind w:left="720"/>
        <w:rPr>
          <w:rFonts w:ascii="Arial" w:hAnsi="Arial"/>
          <w:szCs w:val="20"/>
        </w:rPr>
      </w:pPr>
    </w:p>
    <w:p w:rsidR="00226BB9" w:rsidRDefault="0099276E" w:rsidP="00226BB9">
      <w:pPr>
        <w:ind w:left="720"/>
        <w:rPr>
          <w:rFonts w:ascii="Arial" w:hAnsi="Arial"/>
          <w:b/>
          <w:szCs w:val="20"/>
        </w:rPr>
      </w:pPr>
      <w:r w:rsidRPr="00805BC5">
        <w:rPr>
          <w:rFonts w:ascii="Arial" w:hAnsi="Arial"/>
          <w:b/>
          <w:szCs w:val="20"/>
        </w:rPr>
        <w:t>Outside of formula</w:t>
      </w:r>
      <w:r>
        <w:rPr>
          <w:rFonts w:ascii="Arial" w:hAnsi="Arial"/>
          <w:b/>
          <w:szCs w:val="20"/>
        </w:rPr>
        <w:t xml:space="preserve">: </w:t>
      </w:r>
      <w:r w:rsidR="00226BB9" w:rsidRPr="009844AD">
        <w:rPr>
          <w:rFonts w:ascii="Arial" w:hAnsi="Arial"/>
          <w:b/>
          <w:szCs w:val="20"/>
        </w:rPr>
        <w:t>Retained Items</w:t>
      </w:r>
    </w:p>
    <w:p w:rsidR="00226BB9" w:rsidRDefault="00226BB9" w:rsidP="00226BB9">
      <w:pPr>
        <w:ind w:left="720"/>
        <w:rPr>
          <w:rFonts w:ascii="Arial" w:hAnsi="Arial"/>
          <w:szCs w:val="20"/>
        </w:rPr>
      </w:pPr>
    </w:p>
    <w:p w:rsidR="00226BB9" w:rsidRDefault="00226BB9" w:rsidP="00226BB9">
      <w:pPr>
        <w:numPr>
          <w:ilvl w:val="0"/>
          <w:numId w:val="8"/>
        </w:numPr>
        <w:tabs>
          <w:tab w:val="clear" w:pos="927"/>
          <w:tab w:val="num" w:pos="720"/>
        </w:tabs>
        <w:ind w:left="720" w:hanging="720"/>
        <w:rPr>
          <w:rFonts w:ascii="Arial" w:hAnsi="Arial"/>
          <w:szCs w:val="20"/>
        </w:rPr>
      </w:pPr>
      <w:r>
        <w:rPr>
          <w:rFonts w:ascii="Arial" w:hAnsi="Arial"/>
          <w:szCs w:val="20"/>
        </w:rPr>
        <w:t>Within the grant allocation LAs can retain up to 7% of the total 3 and</w:t>
      </w:r>
      <w:r w:rsidR="0099276E">
        <w:rPr>
          <w:rFonts w:ascii="Arial" w:hAnsi="Arial"/>
          <w:szCs w:val="20"/>
        </w:rPr>
        <w:t xml:space="preserve"> 4 year old allocation for 2017/</w:t>
      </w:r>
      <w:r>
        <w:rPr>
          <w:rFonts w:ascii="Arial" w:hAnsi="Arial"/>
          <w:szCs w:val="20"/>
        </w:rPr>
        <w:t>18 and up to 5% from 2018-19 and onwards</w:t>
      </w:r>
      <w:r w:rsidR="0099276E">
        <w:rPr>
          <w:rFonts w:ascii="Arial" w:hAnsi="Arial"/>
          <w:szCs w:val="20"/>
        </w:rPr>
        <w:t>.</w:t>
      </w:r>
    </w:p>
    <w:p w:rsidR="00226BB9" w:rsidRDefault="00226BB9" w:rsidP="00226BB9">
      <w:pPr>
        <w:ind w:left="720"/>
        <w:rPr>
          <w:rFonts w:ascii="Arial" w:hAnsi="Arial"/>
          <w:szCs w:val="20"/>
        </w:rPr>
      </w:pPr>
    </w:p>
    <w:p w:rsidR="00226BB9" w:rsidRDefault="00226BB9" w:rsidP="00226BB9">
      <w:pPr>
        <w:numPr>
          <w:ilvl w:val="0"/>
          <w:numId w:val="8"/>
        </w:numPr>
        <w:tabs>
          <w:tab w:val="clear" w:pos="927"/>
          <w:tab w:val="num" w:pos="720"/>
        </w:tabs>
        <w:ind w:left="720" w:hanging="720"/>
        <w:rPr>
          <w:rFonts w:ascii="Arial" w:hAnsi="Arial"/>
          <w:szCs w:val="20"/>
        </w:rPr>
      </w:pPr>
      <w:r>
        <w:rPr>
          <w:rFonts w:ascii="Arial" w:hAnsi="Arial"/>
          <w:szCs w:val="20"/>
        </w:rPr>
        <w:t>Retained items can only be used to support the delivery of early years provision in accordance with the statutory duties including advice, training, information and securing sufficiency and market management</w:t>
      </w:r>
      <w:r w:rsidR="0099276E">
        <w:rPr>
          <w:rFonts w:ascii="Arial" w:hAnsi="Arial"/>
          <w:szCs w:val="20"/>
        </w:rPr>
        <w:t>.</w:t>
      </w:r>
      <w:r>
        <w:rPr>
          <w:rFonts w:ascii="Arial" w:hAnsi="Arial"/>
          <w:szCs w:val="20"/>
        </w:rPr>
        <w:t xml:space="preserve"> These duties are embedded within the Childcare Act 2006 and are underpinned by Statutory Guidance.</w:t>
      </w:r>
    </w:p>
    <w:p w:rsidR="00800510" w:rsidRDefault="00800510" w:rsidP="00800510">
      <w:pPr>
        <w:pStyle w:val="ListParagraph"/>
        <w:rPr>
          <w:rFonts w:ascii="Arial" w:hAnsi="Arial"/>
          <w:szCs w:val="20"/>
        </w:rPr>
      </w:pPr>
    </w:p>
    <w:p w:rsidR="00800510" w:rsidRDefault="00800510" w:rsidP="00226BB9">
      <w:pPr>
        <w:numPr>
          <w:ilvl w:val="0"/>
          <w:numId w:val="8"/>
        </w:numPr>
        <w:tabs>
          <w:tab w:val="clear" w:pos="927"/>
          <w:tab w:val="num" w:pos="720"/>
        </w:tabs>
        <w:ind w:left="720" w:hanging="720"/>
        <w:rPr>
          <w:rFonts w:ascii="Arial" w:hAnsi="Arial"/>
          <w:szCs w:val="20"/>
        </w:rPr>
      </w:pPr>
      <w:r w:rsidRPr="001033F1">
        <w:rPr>
          <w:rFonts w:ascii="Arial" w:hAnsi="Arial"/>
          <w:szCs w:val="20"/>
        </w:rPr>
        <w:t xml:space="preserve">This year </w:t>
      </w:r>
      <w:r>
        <w:rPr>
          <w:rFonts w:ascii="Arial" w:hAnsi="Arial"/>
          <w:szCs w:val="20"/>
        </w:rPr>
        <w:t xml:space="preserve">£865k has been </w:t>
      </w:r>
      <w:r w:rsidRPr="001033F1">
        <w:rPr>
          <w:rFonts w:ascii="Arial" w:hAnsi="Arial"/>
          <w:szCs w:val="20"/>
        </w:rPr>
        <w:t>allocat</w:t>
      </w:r>
      <w:r>
        <w:rPr>
          <w:rFonts w:ascii="Arial" w:hAnsi="Arial"/>
          <w:szCs w:val="20"/>
        </w:rPr>
        <w:t xml:space="preserve">ed </w:t>
      </w:r>
      <w:r w:rsidRPr="001033F1">
        <w:rPr>
          <w:rFonts w:ascii="Arial" w:hAnsi="Arial"/>
          <w:szCs w:val="20"/>
        </w:rPr>
        <w:t xml:space="preserve">for retained items </w:t>
      </w:r>
      <w:r>
        <w:rPr>
          <w:rFonts w:ascii="Arial" w:hAnsi="Arial"/>
          <w:szCs w:val="20"/>
        </w:rPr>
        <w:t>for 3 and 4 year olds which are included in the overall £895k in the table at paragraph 2.1. There is also £73k in contingency for centrally retained items due to the expected reduction in grant as per the table in paragraph 2.6.</w:t>
      </w:r>
    </w:p>
    <w:p w:rsidR="00226BB9" w:rsidRDefault="00226BB9" w:rsidP="00226BB9">
      <w:pPr>
        <w:rPr>
          <w:rFonts w:ascii="Arial" w:hAnsi="Arial"/>
          <w:szCs w:val="20"/>
        </w:rPr>
      </w:pPr>
    </w:p>
    <w:p w:rsidR="00226BB9" w:rsidRDefault="0099276E" w:rsidP="00226BB9">
      <w:pPr>
        <w:ind w:left="720"/>
        <w:rPr>
          <w:rFonts w:ascii="Arial" w:hAnsi="Arial"/>
          <w:b/>
          <w:szCs w:val="20"/>
        </w:rPr>
      </w:pPr>
      <w:r>
        <w:rPr>
          <w:rFonts w:ascii="Arial" w:hAnsi="Arial"/>
          <w:b/>
          <w:szCs w:val="20"/>
        </w:rPr>
        <w:t>2 year old formula</w:t>
      </w:r>
    </w:p>
    <w:p w:rsidR="00226BB9" w:rsidRPr="009844AD" w:rsidRDefault="00226BB9" w:rsidP="00226BB9">
      <w:pPr>
        <w:ind w:left="720"/>
        <w:rPr>
          <w:rFonts w:ascii="Arial" w:hAnsi="Arial"/>
          <w:b/>
          <w:szCs w:val="20"/>
        </w:rPr>
      </w:pPr>
    </w:p>
    <w:p w:rsidR="00226BB9" w:rsidRDefault="00226BB9" w:rsidP="00226BB9">
      <w:pPr>
        <w:numPr>
          <w:ilvl w:val="0"/>
          <w:numId w:val="8"/>
        </w:numPr>
        <w:tabs>
          <w:tab w:val="clear" w:pos="927"/>
          <w:tab w:val="num" w:pos="720"/>
        </w:tabs>
        <w:ind w:left="720" w:hanging="720"/>
        <w:rPr>
          <w:rFonts w:ascii="Arial" w:hAnsi="Arial"/>
          <w:szCs w:val="20"/>
        </w:rPr>
      </w:pPr>
      <w:r>
        <w:rPr>
          <w:rFonts w:ascii="Arial" w:hAnsi="Arial"/>
          <w:szCs w:val="20"/>
        </w:rPr>
        <w:t xml:space="preserve">The DfE has allocated a separate pot of funding for 2 year olds, which is underpinned by a separate set of requirements. LAs have local discretion, as long as the specific grant requirements for </w:t>
      </w:r>
      <w:r w:rsidR="001033F1">
        <w:rPr>
          <w:rFonts w:ascii="Arial" w:hAnsi="Arial"/>
          <w:szCs w:val="20"/>
        </w:rPr>
        <w:t xml:space="preserve">each block are not compromised, </w:t>
      </w:r>
      <w:r>
        <w:rPr>
          <w:rFonts w:ascii="Arial" w:hAnsi="Arial"/>
          <w:szCs w:val="20"/>
        </w:rPr>
        <w:t xml:space="preserve">to move the allocations between each other. This includes  local discretion for  support for children with SEN and  retaining an element  from the 2 year allocation </w:t>
      </w:r>
    </w:p>
    <w:p w:rsidR="00226BB9" w:rsidRDefault="00226BB9" w:rsidP="00226BB9">
      <w:pPr>
        <w:numPr>
          <w:ilvl w:val="0"/>
          <w:numId w:val="8"/>
        </w:numPr>
        <w:tabs>
          <w:tab w:val="clear" w:pos="927"/>
          <w:tab w:val="num" w:pos="720"/>
        </w:tabs>
        <w:ind w:left="720" w:hanging="720"/>
        <w:rPr>
          <w:rFonts w:ascii="Arial" w:hAnsi="Arial"/>
          <w:szCs w:val="20"/>
        </w:rPr>
      </w:pPr>
      <w:r>
        <w:rPr>
          <w:rFonts w:ascii="Arial" w:hAnsi="Arial"/>
          <w:szCs w:val="20"/>
        </w:rPr>
        <w:lastRenderedPageBreak/>
        <w:t xml:space="preserve">The table below shows the </w:t>
      </w:r>
      <w:r>
        <w:rPr>
          <w:rFonts w:ascii="Arial" w:hAnsi="Arial"/>
          <w:b/>
          <w:szCs w:val="20"/>
        </w:rPr>
        <w:t>base rate</w:t>
      </w:r>
      <w:r>
        <w:rPr>
          <w:rFonts w:ascii="Arial" w:hAnsi="Arial"/>
          <w:szCs w:val="20"/>
        </w:rPr>
        <w:t xml:space="preserve"> for 2 year olds</w:t>
      </w:r>
    </w:p>
    <w:tbl>
      <w:tblPr>
        <w:tblW w:w="85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1435"/>
        <w:gridCol w:w="1435"/>
      </w:tblGrid>
      <w:tr w:rsidR="001033F1" w:rsidRPr="001033F1" w:rsidTr="001033F1">
        <w:tc>
          <w:tcPr>
            <w:tcW w:w="5687" w:type="dxa"/>
            <w:shd w:val="clear" w:color="auto" w:fill="00B050"/>
          </w:tcPr>
          <w:p w:rsidR="00226BB9" w:rsidRPr="001033F1" w:rsidRDefault="00226BB9" w:rsidP="00CE53DB">
            <w:pPr>
              <w:rPr>
                <w:rFonts w:ascii="Arial" w:hAnsi="Arial"/>
                <w:b/>
                <w:color w:val="FFFFFF" w:themeColor="background1"/>
                <w:szCs w:val="20"/>
              </w:rPr>
            </w:pPr>
          </w:p>
          <w:p w:rsidR="00226BB9" w:rsidRPr="001033F1" w:rsidRDefault="00226BB9" w:rsidP="00CE53DB">
            <w:pPr>
              <w:rPr>
                <w:rFonts w:ascii="Arial" w:hAnsi="Arial"/>
                <w:b/>
                <w:color w:val="FFFFFF" w:themeColor="background1"/>
                <w:szCs w:val="20"/>
              </w:rPr>
            </w:pPr>
            <w:r w:rsidRPr="001033F1">
              <w:rPr>
                <w:rFonts w:ascii="Arial" w:hAnsi="Arial"/>
                <w:b/>
                <w:color w:val="FFFFFF" w:themeColor="background1"/>
                <w:szCs w:val="20"/>
              </w:rPr>
              <w:t>Description</w:t>
            </w:r>
          </w:p>
        </w:tc>
        <w:tc>
          <w:tcPr>
            <w:tcW w:w="0" w:type="auto"/>
            <w:shd w:val="clear" w:color="auto" w:fill="00B050"/>
          </w:tcPr>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2017/18 Rate</w:t>
            </w:r>
          </w:p>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w:t>
            </w:r>
          </w:p>
        </w:tc>
        <w:tc>
          <w:tcPr>
            <w:tcW w:w="0" w:type="auto"/>
            <w:shd w:val="clear" w:color="auto" w:fill="00B050"/>
          </w:tcPr>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2016/17 Rate</w:t>
            </w:r>
          </w:p>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w:t>
            </w:r>
          </w:p>
        </w:tc>
      </w:tr>
      <w:tr w:rsidR="00226BB9" w:rsidRPr="00A74219" w:rsidTr="00CE53DB">
        <w:tc>
          <w:tcPr>
            <w:tcW w:w="5687" w:type="dxa"/>
            <w:shd w:val="clear" w:color="auto" w:fill="auto"/>
          </w:tcPr>
          <w:p w:rsidR="00226BB9" w:rsidRPr="00A74219" w:rsidRDefault="00226BB9" w:rsidP="00CE53DB">
            <w:pPr>
              <w:rPr>
                <w:rFonts w:ascii="Arial" w:hAnsi="Arial"/>
                <w:szCs w:val="20"/>
              </w:rPr>
            </w:pPr>
          </w:p>
        </w:tc>
        <w:tc>
          <w:tcPr>
            <w:tcW w:w="0" w:type="auto"/>
            <w:shd w:val="clear" w:color="auto" w:fill="auto"/>
          </w:tcPr>
          <w:p w:rsidR="00226BB9" w:rsidRPr="00E376A6" w:rsidRDefault="00226BB9" w:rsidP="00CE53DB">
            <w:pPr>
              <w:jc w:val="center"/>
              <w:rPr>
                <w:rFonts w:ascii="Arial" w:hAnsi="Arial"/>
                <w:szCs w:val="20"/>
              </w:rPr>
            </w:pPr>
            <w:r>
              <w:rPr>
                <w:rFonts w:ascii="Arial" w:hAnsi="Arial"/>
                <w:szCs w:val="20"/>
              </w:rPr>
              <w:t xml:space="preserve">£5.60 </w:t>
            </w:r>
          </w:p>
        </w:tc>
        <w:tc>
          <w:tcPr>
            <w:tcW w:w="0" w:type="auto"/>
          </w:tcPr>
          <w:p w:rsidR="00226BB9" w:rsidRPr="00E376A6" w:rsidRDefault="00226BB9" w:rsidP="00CE53DB">
            <w:pPr>
              <w:jc w:val="center"/>
              <w:rPr>
                <w:rFonts w:ascii="Arial" w:hAnsi="Arial"/>
                <w:szCs w:val="20"/>
              </w:rPr>
            </w:pPr>
            <w:r>
              <w:rPr>
                <w:rFonts w:ascii="Arial" w:hAnsi="Arial"/>
                <w:szCs w:val="20"/>
              </w:rPr>
              <w:t>£5.40</w:t>
            </w:r>
          </w:p>
        </w:tc>
      </w:tr>
    </w:tbl>
    <w:p w:rsidR="00226BB9" w:rsidRDefault="00226BB9" w:rsidP="00226BB9">
      <w:pPr>
        <w:pStyle w:val="Header"/>
        <w:tabs>
          <w:tab w:val="clear" w:pos="4153"/>
          <w:tab w:val="clear" w:pos="8306"/>
        </w:tabs>
      </w:pPr>
    </w:p>
    <w:p w:rsidR="00226BB9" w:rsidRDefault="00226BB9" w:rsidP="00226BB9">
      <w:pPr>
        <w:pStyle w:val="Header"/>
        <w:tabs>
          <w:tab w:val="clear" w:pos="4153"/>
          <w:tab w:val="clear" w:pos="8306"/>
        </w:tabs>
        <w:rPr>
          <w:b/>
        </w:rPr>
      </w:pPr>
      <w:r>
        <w:t xml:space="preserve">         </w:t>
      </w:r>
      <w:r w:rsidRPr="0077688F">
        <w:rPr>
          <w:b/>
        </w:rPr>
        <w:t>Outside of formula</w:t>
      </w:r>
      <w:r w:rsidR="001033F1">
        <w:rPr>
          <w:b/>
        </w:rPr>
        <w:t xml:space="preserve">: </w:t>
      </w:r>
      <w:r>
        <w:rPr>
          <w:b/>
        </w:rPr>
        <w:t>SEN Inclusion</w:t>
      </w:r>
      <w:r w:rsidRPr="0077688F">
        <w:rPr>
          <w:b/>
        </w:rPr>
        <w:t xml:space="preserve"> Fund</w:t>
      </w:r>
    </w:p>
    <w:p w:rsidR="00226BB9" w:rsidRPr="0077688F" w:rsidRDefault="00226BB9" w:rsidP="00226BB9">
      <w:pPr>
        <w:pStyle w:val="Header"/>
        <w:tabs>
          <w:tab w:val="clear" w:pos="4153"/>
          <w:tab w:val="clear" w:pos="8306"/>
        </w:tabs>
        <w:rPr>
          <w:b/>
        </w:rPr>
      </w:pPr>
    </w:p>
    <w:p w:rsidR="00226BB9" w:rsidRDefault="001033F1" w:rsidP="001033F1">
      <w:pPr>
        <w:pStyle w:val="Header"/>
        <w:tabs>
          <w:tab w:val="clear" w:pos="4153"/>
          <w:tab w:val="clear" w:pos="8306"/>
        </w:tabs>
        <w:ind w:left="720" w:hanging="720"/>
      </w:pPr>
      <w:r>
        <w:t>3.13</w:t>
      </w:r>
      <w:r>
        <w:tab/>
        <w:t>The</w:t>
      </w:r>
      <w:r w:rsidR="00226BB9">
        <w:t xml:space="preserve"> table below shows the </w:t>
      </w:r>
      <w:r w:rsidR="00226BB9" w:rsidRPr="00345CAC">
        <w:rPr>
          <w:b/>
        </w:rPr>
        <w:t>discretionary SEN Inclusion Fund</w:t>
      </w:r>
      <w:r w:rsidR="00226BB9">
        <w:t xml:space="preserve"> for 2 yea</w:t>
      </w:r>
      <w:r>
        <w:t xml:space="preserve">r </w:t>
      </w:r>
      <w:r w:rsidR="00226BB9">
        <w:t>Olds</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1033F1" w:rsidRPr="001033F1" w:rsidTr="001033F1">
        <w:tc>
          <w:tcPr>
            <w:tcW w:w="5688" w:type="dxa"/>
            <w:shd w:val="clear" w:color="auto" w:fill="00B050"/>
          </w:tcPr>
          <w:p w:rsidR="00226BB9" w:rsidRPr="001033F1" w:rsidRDefault="00226BB9" w:rsidP="00CE53DB">
            <w:pPr>
              <w:rPr>
                <w:rFonts w:ascii="Arial" w:hAnsi="Arial"/>
                <w:b/>
                <w:color w:val="FFFFFF" w:themeColor="background1"/>
                <w:szCs w:val="20"/>
              </w:rPr>
            </w:pPr>
          </w:p>
          <w:p w:rsidR="00226BB9" w:rsidRPr="001033F1" w:rsidRDefault="00226BB9" w:rsidP="00CE53DB">
            <w:pPr>
              <w:rPr>
                <w:rFonts w:ascii="Arial" w:hAnsi="Arial"/>
                <w:b/>
                <w:color w:val="FFFFFF" w:themeColor="background1"/>
                <w:szCs w:val="20"/>
              </w:rPr>
            </w:pPr>
            <w:r w:rsidRPr="001033F1">
              <w:rPr>
                <w:rFonts w:ascii="Arial" w:hAnsi="Arial"/>
                <w:b/>
                <w:color w:val="FFFFFF" w:themeColor="background1"/>
                <w:szCs w:val="20"/>
              </w:rPr>
              <w:t>Description</w:t>
            </w:r>
          </w:p>
        </w:tc>
        <w:tc>
          <w:tcPr>
            <w:tcW w:w="0" w:type="auto"/>
            <w:shd w:val="clear" w:color="auto" w:fill="00B050"/>
          </w:tcPr>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2017/18</w:t>
            </w:r>
            <w:r w:rsidR="001033F1" w:rsidRPr="001033F1">
              <w:rPr>
                <w:rFonts w:ascii="Arial" w:hAnsi="Arial"/>
                <w:b/>
                <w:color w:val="FFFFFF" w:themeColor="background1"/>
                <w:szCs w:val="20"/>
              </w:rPr>
              <w:t xml:space="preserve"> </w:t>
            </w:r>
            <w:r w:rsidRPr="001033F1">
              <w:rPr>
                <w:rFonts w:ascii="Arial" w:hAnsi="Arial"/>
                <w:b/>
                <w:color w:val="FFFFFF" w:themeColor="background1"/>
                <w:szCs w:val="20"/>
              </w:rPr>
              <w:t>Rate</w:t>
            </w:r>
          </w:p>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w:t>
            </w:r>
          </w:p>
        </w:tc>
        <w:tc>
          <w:tcPr>
            <w:tcW w:w="0" w:type="auto"/>
            <w:shd w:val="clear" w:color="auto" w:fill="00B050"/>
          </w:tcPr>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2016/17 Rate</w:t>
            </w:r>
          </w:p>
          <w:p w:rsidR="00226BB9" w:rsidRPr="001033F1" w:rsidRDefault="00226BB9" w:rsidP="00CE53DB">
            <w:pPr>
              <w:jc w:val="center"/>
              <w:rPr>
                <w:rFonts w:ascii="Arial" w:hAnsi="Arial"/>
                <w:b/>
                <w:color w:val="FFFFFF" w:themeColor="background1"/>
                <w:szCs w:val="20"/>
              </w:rPr>
            </w:pPr>
            <w:r w:rsidRPr="001033F1">
              <w:rPr>
                <w:rFonts w:ascii="Arial" w:hAnsi="Arial"/>
                <w:b/>
                <w:color w:val="FFFFFF" w:themeColor="background1"/>
                <w:szCs w:val="20"/>
              </w:rPr>
              <w:t>£</w:t>
            </w:r>
          </w:p>
        </w:tc>
      </w:tr>
      <w:tr w:rsidR="00226BB9" w:rsidRPr="00A74219" w:rsidTr="00CE53DB">
        <w:tc>
          <w:tcPr>
            <w:tcW w:w="5688" w:type="dxa"/>
            <w:shd w:val="clear" w:color="auto" w:fill="auto"/>
          </w:tcPr>
          <w:p w:rsidR="00226BB9" w:rsidRPr="00A74219" w:rsidRDefault="00226BB9" w:rsidP="00CE53DB">
            <w:pPr>
              <w:rPr>
                <w:rFonts w:ascii="Arial" w:hAnsi="Arial"/>
                <w:szCs w:val="20"/>
              </w:rPr>
            </w:pPr>
            <w:r>
              <w:rPr>
                <w:rFonts w:ascii="Arial" w:hAnsi="Arial"/>
                <w:szCs w:val="20"/>
              </w:rPr>
              <w:t xml:space="preserve">SEN Inclusion Fund </w:t>
            </w:r>
          </w:p>
        </w:tc>
        <w:tc>
          <w:tcPr>
            <w:tcW w:w="0" w:type="auto"/>
            <w:shd w:val="clear" w:color="auto" w:fill="auto"/>
          </w:tcPr>
          <w:p w:rsidR="00226BB9" w:rsidRPr="00A74219" w:rsidRDefault="00226BB9" w:rsidP="00CE53DB">
            <w:pPr>
              <w:jc w:val="center"/>
              <w:rPr>
                <w:rFonts w:ascii="Arial" w:hAnsi="Arial"/>
                <w:szCs w:val="20"/>
              </w:rPr>
            </w:pPr>
          </w:p>
        </w:tc>
        <w:tc>
          <w:tcPr>
            <w:tcW w:w="0" w:type="auto"/>
          </w:tcPr>
          <w:p w:rsidR="00226BB9" w:rsidRPr="00A74219" w:rsidRDefault="00226BB9" w:rsidP="00CE53DB">
            <w:pPr>
              <w:jc w:val="center"/>
              <w:rPr>
                <w:rFonts w:ascii="Arial" w:hAnsi="Arial"/>
                <w:szCs w:val="20"/>
              </w:rPr>
            </w:pPr>
          </w:p>
        </w:tc>
      </w:tr>
      <w:tr w:rsidR="00226BB9" w:rsidRPr="00A74219" w:rsidTr="00CE53DB">
        <w:tc>
          <w:tcPr>
            <w:tcW w:w="5688" w:type="dxa"/>
            <w:shd w:val="clear" w:color="auto" w:fill="auto"/>
          </w:tcPr>
          <w:p w:rsidR="00226BB9" w:rsidRDefault="00226BB9" w:rsidP="00CE53DB">
            <w:pPr>
              <w:rPr>
                <w:rFonts w:ascii="Arial" w:hAnsi="Arial"/>
                <w:szCs w:val="20"/>
              </w:rPr>
            </w:pPr>
            <w:r w:rsidRPr="00F978FC">
              <w:rPr>
                <w:rFonts w:ascii="Arial" w:hAnsi="Arial" w:cs="Arial"/>
              </w:rPr>
              <w:t>SEN Support Level 1a (local offer)</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nil</w:t>
            </w:r>
          </w:p>
        </w:tc>
        <w:tc>
          <w:tcPr>
            <w:tcW w:w="0" w:type="auto"/>
          </w:tcPr>
          <w:p w:rsidR="00226BB9" w:rsidRPr="00A74219" w:rsidRDefault="00226BB9" w:rsidP="00CE53DB">
            <w:pPr>
              <w:jc w:val="center"/>
              <w:rPr>
                <w:rFonts w:ascii="Arial" w:hAnsi="Arial"/>
                <w:szCs w:val="20"/>
              </w:rPr>
            </w:pPr>
            <w:r>
              <w:rPr>
                <w:rFonts w:ascii="Arial" w:hAnsi="Arial"/>
                <w:szCs w:val="20"/>
              </w:rPr>
              <w:t>nil</w:t>
            </w:r>
          </w:p>
        </w:tc>
      </w:tr>
      <w:tr w:rsidR="00226BB9" w:rsidRPr="00A74219" w:rsidTr="00CE53DB">
        <w:tc>
          <w:tcPr>
            <w:tcW w:w="5688" w:type="dxa"/>
            <w:shd w:val="clear" w:color="auto" w:fill="auto"/>
          </w:tcPr>
          <w:p w:rsidR="00226BB9" w:rsidRDefault="00226BB9" w:rsidP="00CE53DB">
            <w:pPr>
              <w:rPr>
                <w:rFonts w:ascii="Arial" w:hAnsi="Arial"/>
                <w:szCs w:val="20"/>
              </w:rPr>
            </w:pPr>
            <w:r w:rsidRPr="00F978FC">
              <w:rPr>
                <w:rFonts w:ascii="Arial" w:hAnsi="Arial" w:cs="Arial"/>
              </w:rPr>
              <w:t>SEN Support Level 1b</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£2.50</w:t>
            </w:r>
          </w:p>
        </w:tc>
        <w:tc>
          <w:tcPr>
            <w:tcW w:w="0" w:type="auto"/>
          </w:tcPr>
          <w:p w:rsidR="00226BB9" w:rsidRPr="00A74219" w:rsidRDefault="00226BB9" w:rsidP="00CE53DB">
            <w:pPr>
              <w:jc w:val="center"/>
              <w:rPr>
                <w:rFonts w:ascii="Arial" w:hAnsi="Arial"/>
                <w:szCs w:val="20"/>
              </w:rPr>
            </w:pPr>
            <w:r>
              <w:rPr>
                <w:rFonts w:ascii="Arial" w:hAnsi="Arial"/>
                <w:szCs w:val="20"/>
              </w:rPr>
              <w:t>£2.50</w:t>
            </w:r>
          </w:p>
        </w:tc>
      </w:tr>
      <w:tr w:rsidR="00226BB9" w:rsidRPr="00A74219" w:rsidTr="00CE53DB">
        <w:tc>
          <w:tcPr>
            <w:tcW w:w="5688" w:type="dxa"/>
            <w:shd w:val="clear" w:color="auto" w:fill="auto"/>
          </w:tcPr>
          <w:p w:rsidR="00226BB9" w:rsidRDefault="00226BB9" w:rsidP="00CE53DB">
            <w:pPr>
              <w:rPr>
                <w:rFonts w:ascii="Arial" w:hAnsi="Arial"/>
                <w:szCs w:val="20"/>
              </w:rPr>
            </w:pPr>
            <w:r w:rsidRPr="00F978FC">
              <w:rPr>
                <w:rFonts w:ascii="Arial" w:hAnsi="Arial" w:cs="Arial"/>
              </w:rPr>
              <w:t>SEN Support Level 1c</w:t>
            </w:r>
          </w:p>
        </w:tc>
        <w:tc>
          <w:tcPr>
            <w:tcW w:w="0" w:type="auto"/>
            <w:shd w:val="clear" w:color="auto" w:fill="auto"/>
          </w:tcPr>
          <w:p w:rsidR="00226BB9" w:rsidRPr="00A74219" w:rsidRDefault="00226BB9" w:rsidP="00CE53DB">
            <w:pPr>
              <w:jc w:val="center"/>
              <w:rPr>
                <w:rFonts w:ascii="Arial" w:hAnsi="Arial"/>
                <w:szCs w:val="20"/>
              </w:rPr>
            </w:pPr>
            <w:r>
              <w:rPr>
                <w:rFonts w:ascii="Arial" w:hAnsi="Arial"/>
                <w:szCs w:val="20"/>
              </w:rPr>
              <w:t>£5.26 + 1b (£7.26)</w:t>
            </w:r>
          </w:p>
        </w:tc>
        <w:tc>
          <w:tcPr>
            <w:tcW w:w="0" w:type="auto"/>
          </w:tcPr>
          <w:p w:rsidR="00226BB9" w:rsidRPr="00A74219" w:rsidRDefault="00226BB9" w:rsidP="00CE53DB">
            <w:pPr>
              <w:jc w:val="center"/>
              <w:rPr>
                <w:rFonts w:ascii="Arial" w:hAnsi="Arial"/>
                <w:szCs w:val="20"/>
              </w:rPr>
            </w:pPr>
            <w:r>
              <w:rPr>
                <w:rFonts w:ascii="Arial" w:hAnsi="Arial"/>
                <w:szCs w:val="20"/>
              </w:rPr>
              <w:t>£5.26 + 1b (£7.26)</w:t>
            </w:r>
          </w:p>
        </w:tc>
      </w:tr>
    </w:tbl>
    <w:p w:rsidR="00226BB9" w:rsidRDefault="00226BB9" w:rsidP="00226BB9">
      <w:pPr>
        <w:pStyle w:val="Header"/>
        <w:tabs>
          <w:tab w:val="clear" w:pos="4153"/>
          <w:tab w:val="clear" w:pos="8306"/>
        </w:tabs>
      </w:pPr>
    </w:p>
    <w:p w:rsidR="00226BB9" w:rsidRDefault="001033F1" w:rsidP="001033F1">
      <w:pPr>
        <w:ind w:left="720" w:hanging="720"/>
        <w:rPr>
          <w:rFonts w:ascii="Arial" w:hAnsi="Arial" w:cs="Arial"/>
        </w:rPr>
      </w:pPr>
      <w:r>
        <w:rPr>
          <w:rFonts w:ascii="Arial" w:hAnsi="Arial" w:cs="Arial"/>
        </w:rPr>
        <w:t>3.14</w:t>
      </w:r>
      <w:r>
        <w:rPr>
          <w:rFonts w:ascii="Arial" w:hAnsi="Arial" w:cs="Arial"/>
        </w:rPr>
        <w:tab/>
        <w:t>SEN</w:t>
      </w:r>
      <w:r w:rsidR="00226BB9">
        <w:rPr>
          <w:rFonts w:ascii="Arial" w:hAnsi="Arial" w:cs="Arial"/>
        </w:rPr>
        <w:t xml:space="preserve"> funding is allocated in accordance with the agreed process</w:t>
      </w:r>
      <w:r w:rsidR="00226BB9" w:rsidRPr="008E0A43">
        <w:rPr>
          <w:rFonts w:ascii="Arial" w:hAnsi="Arial" w:cs="Arial"/>
        </w:rPr>
        <w:t>. This ceases</w:t>
      </w:r>
      <w:r>
        <w:rPr>
          <w:rFonts w:ascii="Arial" w:hAnsi="Arial" w:cs="Arial"/>
        </w:rPr>
        <w:t xml:space="preserve"> </w:t>
      </w:r>
      <w:r w:rsidR="00226BB9" w:rsidRPr="008E0A43">
        <w:rPr>
          <w:rFonts w:ascii="Arial" w:hAnsi="Arial" w:cs="Arial"/>
        </w:rPr>
        <w:t>when the EHCP is issued and funding is allocated in accordance with the</w:t>
      </w:r>
      <w:r>
        <w:rPr>
          <w:rFonts w:ascii="Arial" w:hAnsi="Arial" w:cs="Arial"/>
        </w:rPr>
        <w:t xml:space="preserve"> </w:t>
      </w:r>
      <w:r w:rsidR="00226BB9" w:rsidRPr="008E0A43">
        <w:rPr>
          <w:rFonts w:ascii="Arial" w:hAnsi="Arial" w:cs="Arial"/>
        </w:rPr>
        <w:t>EHCP EY banding through the High Needs Block. EHCP are funded on a pro-rata basis and based on actual hours and number of weeks of attendance. This</w:t>
      </w:r>
      <w:r>
        <w:rPr>
          <w:rFonts w:ascii="Arial" w:hAnsi="Arial" w:cs="Arial"/>
        </w:rPr>
        <w:t xml:space="preserve"> </w:t>
      </w:r>
      <w:r w:rsidR="00226BB9" w:rsidRPr="008E0A43">
        <w:rPr>
          <w:rFonts w:ascii="Arial" w:hAnsi="Arial" w:cs="Arial"/>
        </w:rPr>
        <w:t>will ensure SEN funding for children is seamless and on a continuum as they</w:t>
      </w:r>
      <w:r>
        <w:rPr>
          <w:rFonts w:ascii="Arial" w:hAnsi="Arial" w:cs="Arial"/>
        </w:rPr>
        <w:t xml:space="preserve"> </w:t>
      </w:r>
      <w:r w:rsidR="00226BB9" w:rsidRPr="008E0A43">
        <w:rPr>
          <w:rFonts w:ascii="Arial" w:hAnsi="Arial" w:cs="Arial"/>
        </w:rPr>
        <w:t>progress through each stage.</w:t>
      </w:r>
    </w:p>
    <w:p w:rsidR="00226BB9" w:rsidRDefault="00226BB9" w:rsidP="00226BB9">
      <w:pPr>
        <w:rPr>
          <w:rFonts w:ascii="Arial" w:hAnsi="Arial" w:cs="Arial"/>
        </w:rPr>
      </w:pPr>
    </w:p>
    <w:p w:rsidR="00226BB9" w:rsidRDefault="00226BB9" w:rsidP="00226BB9">
      <w:pPr>
        <w:rPr>
          <w:rFonts w:ascii="Arial" w:hAnsi="Arial" w:cs="Arial"/>
          <w:b/>
        </w:rPr>
      </w:pPr>
      <w:r>
        <w:rPr>
          <w:rFonts w:ascii="Arial" w:hAnsi="Arial" w:cs="Arial"/>
        </w:rPr>
        <w:t xml:space="preserve">         </w:t>
      </w:r>
      <w:r w:rsidRPr="0077688F">
        <w:rPr>
          <w:rFonts w:ascii="Arial" w:hAnsi="Arial" w:cs="Arial"/>
          <w:b/>
        </w:rPr>
        <w:t>Ou</w:t>
      </w:r>
      <w:r>
        <w:rPr>
          <w:rFonts w:ascii="Arial" w:hAnsi="Arial" w:cs="Arial"/>
          <w:b/>
        </w:rPr>
        <w:t>t</w:t>
      </w:r>
      <w:r w:rsidRPr="0077688F">
        <w:rPr>
          <w:rFonts w:ascii="Arial" w:hAnsi="Arial" w:cs="Arial"/>
          <w:b/>
        </w:rPr>
        <w:t>side of formula</w:t>
      </w:r>
      <w:r w:rsidR="001033F1">
        <w:rPr>
          <w:rFonts w:ascii="Arial" w:hAnsi="Arial" w:cs="Arial"/>
          <w:b/>
        </w:rPr>
        <w:t xml:space="preserve">: </w:t>
      </w:r>
      <w:r w:rsidRPr="0077688F">
        <w:rPr>
          <w:rFonts w:ascii="Arial" w:hAnsi="Arial" w:cs="Arial"/>
          <w:b/>
        </w:rPr>
        <w:t>Contingency</w:t>
      </w:r>
    </w:p>
    <w:p w:rsidR="00226BB9" w:rsidRDefault="00226BB9" w:rsidP="00226BB9">
      <w:pPr>
        <w:rPr>
          <w:rFonts w:ascii="Arial" w:hAnsi="Arial" w:cs="Arial"/>
          <w:b/>
        </w:rPr>
      </w:pPr>
    </w:p>
    <w:p w:rsidR="00226BB9" w:rsidRPr="001033F1" w:rsidRDefault="00226BB9" w:rsidP="001033F1">
      <w:pPr>
        <w:pStyle w:val="ListParagraph"/>
        <w:numPr>
          <w:ilvl w:val="1"/>
          <w:numId w:val="14"/>
        </w:numPr>
        <w:rPr>
          <w:rFonts w:ascii="Arial" w:hAnsi="Arial"/>
          <w:szCs w:val="20"/>
        </w:rPr>
      </w:pPr>
      <w:r>
        <w:rPr>
          <w:rFonts w:ascii="Arial" w:hAnsi="Arial"/>
          <w:szCs w:val="20"/>
        </w:rPr>
        <w:t xml:space="preserve">There are two </w:t>
      </w:r>
      <w:r w:rsidRPr="0077688F">
        <w:rPr>
          <w:rFonts w:ascii="Arial" w:hAnsi="Arial"/>
          <w:szCs w:val="20"/>
        </w:rPr>
        <w:t>comp</w:t>
      </w:r>
      <w:r>
        <w:rPr>
          <w:rFonts w:ascii="Arial" w:hAnsi="Arial"/>
          <w:szCs w:val="20"/>
        </w:rPr>
        <w:t xml:space="preserve">onents to the contingency for 2 </w:t>
      </w:r>
      <w:r w:rsidRPr="0077688F">
        <w:rPr>
          <w:rFonts w:ascii="Arial" w:hAnsi="Arial"/>
          <w:szCs w:val="20"/>
        </w:rPr>
        <w:t>year olds in</w:t>
      </w:r>
      <w:r w:rsidR="001033F1">
        <w:rPr>
          <w:rFonts w:ascii="Arial" w:hAnsi="Arial"/>
          <w:szCs w:val="20"/>
        </w:rPr>
        <w:t xml:space="preserve"> </w:t>
      </w:r>
      <w:r w:rsidRPr="001033F1">
        <w:rPr>
          <w:rFonts w:ascii="Arial" w:hAnsi="Arial"/>
          <w:szCs w:val="20"/>
        </w:rPr>
        <w:t xml:space="preserve">2017/18. </w:t>
      </w:r>
    </w:p>
    <w:p w:rsidR="00226BB9" w:rsidRDefault="00226BB9" w:rsidP="00226BB9">
      <w:pPr>
        <w:pStyle w:val="ListParagraph"/>
        <w:numPr>
          <w:ilvl w:val="0"/>
          <w:numId w:val="13"/>
        </w:numPr>
        <w:rPr>
          <w:rFonts w:ascii="Arial" w:hAnsi="Arial"/>
          <w:szCs w:val="20"/>
        </w:rPr>
      </w:pPr>
      <w:r>
        <w:rPr>
          <w:rFonts w:ascii="Arial" w:hAnsi="Arial"/>
          <w:szCs w:val="20"/>
        </w:rPr>
        <w:t xml:space="preserve">A </w:t>
      </w:r>
      <w:r w:rsidR="001033F1">
        <w:rPr>
          <w:rFonts w:ascii="Arial" w:hAnsi="Arial"/>
          <w:szCs w:val="20"/>
        </w:rPr>
        <w:t xml:space="preserve">small </w:t>
      </w:r>
      <w:r>
        <w:rPr>
          <w:rFonts w:ascii="Arial" w:hAnsi="Arial"/>
          <w:szCs w:val="20"/>
        </w:rPr>
        <w:t xml:space="preserve">contingency to support any in year  growth for SEN support and late starters (not on headcount) </w:t>
      </w:r>
    </w:p>
    <w:p w:rsidR="00226BB9" w:rsidRDefault="00226BB9" w:rsidP="00226BB9">
      <w:pPr>
        <w:pStyle w:val="ListParagraph"/>
        <w:numPr>
          <w:ilvl w:val="0"/>
          <w:numId w:val="13"/>
        </w:numPr>
        <w:rPr>
          <w:rFonts w:ascii="Arial" w:hAnsi="Arial"/>
          <w:szCs w:val="20"/>
        </w:rPr>
      </w:pPr>
      <w:r>
        <w:rPr>
          <w:rFonts w:ascii="Arial" w:hAnsi="Arial"/>
          <w:szCs w:val="20"/>
        </w:rPr>
        <w:t xml:space="preserve">The DFE have allocated indicative budgets based on a specific point in time and based on an estimated number of </w:t>
      </w:r>
      <w:r w:rsidR="001033F1">
        <w:rPr>
          <w:rFonts w:ascii="Arial" w:hAnsi="Arial"/>
          <w:szCs w:val="20"/>
        </w:rPr>
        <w:t>taking up the 2 year old places</w:t>
      </w:r>
      <w:r>
        <w:rPr>
          <w:rFonts w:ascii="Arial" w:hAnsi="Arial"/>
          <w:szCs w:val="20"/>
        </w:rPr>
        <w:t>. Local estimates indicate that not all places will be taken up as specified by DfE and the estimated grant that will be paid back to the DfE is also held in contingency</w:t>
      </w:r>
      <w:r w:rsidR="00B65FC7">
        <w:rPr>
          <w:rFonts w:ascii="Arial" w:hAnsi="Arial"/>
          <w:szCs w:val="20"/>
        </w:rPr>
        <w:t>.</w:t>
      </w:r>
    </w:p>
    <w:p w:rsidR="00226BB9" w:rsidRDefault="00226BB9" w:rsidP="00226BB9">
      <w:pPr>
        <w:rPr>
          <w:rFonts w:ascii="Arial" w:hAnsi="Arial"/>
          <w:szCs w:val="20"/>
        </w:rPr>
      </w:pPr>
    </w:p>
    <w:p w:rsidR="00226BB9" w:rsidRPr="001033F1" w:rsidRDefault="00226BB9" w:rsidP="001033F1">
      <w:pPr>
        <w:pStyle w:val="ListParagraph"/>
        <w:numPr>
          <w:ilvl w:val="1"/>
          <w:numId w:val="14"/>
        </w:numPr>
        <w:ind w:left="709" w:hanging="709"/>
        <w:rPr>
          <w:rFonts w:ascii="Arial" w:hAnsi="Arial"/>
          <w:szCs w:val="20"/>
        </w:rPr>
      </w:pPr>
      <w:r w:rsidRPr="001033F1">
        <w:rPr>
          <w:rFonts w:ascii="Arial" w:hAnsi="Arial"/>
          <w:szCs w:val="20"/>
        </w:rPr>
        <w:t>The contingency will be allocated across the sector in accordance with agreed</w:t>
      </w:r>
      <w:r w:rsidR="001033F1" w:rsidRPr="001033F1">
        <w:rPr>
          <w:rFonts w:ascii="Arial" w:hAnsi="Arial"/>
          <w:szCs w:val="20"/>
        </w:rPr>
        <w:t xml:space="preserve"> </w:t>
      </w:r>
      <w:r w:rsidRPr="001033F1">
        <w:rPr>
          <w:rFonts w:ascii="Arial" w:hAnsi="Arial"/>
          <w:szCs w:val="20"/>
        </w:rPr>
        <w:t>methodology. See table above for each part of the contingency budget</w:t>
      </w:r>
    </w:p>
    <w:p w:rsidR="00226BB9" w:rsidRDefault="00226BB9" w:rsidP="00226BB9">
      <w:pPr>
        <w:rPr>
          <w:rFonts w:ascii="Arial" w:hAnsi="Arial"/>
          <w:szCs w:val="20"/>
        </w:rPr>
      </w:pPr>
    </w:p>
    <w:p w:rsidR="00226BB9" w:rsidRDefault="00B65FC7" w:rsidP="00B65FC7">
      <w:pPr>
        <w:ind w:firstLine="465"/>
        <w:rPr>
          <w:rFonts w:ascii="Arial" w:hAnsi="Arial"/>
          <w:b/>
          <w:szCs w:val="20"/>
        </w:rPr>
      </w:pPr>
      <w:r>
        <w:rPr>
          <w:rFonts w:ascii="Arial" w:hAnsi="Arial"/>
          <w:b/>
          <w:szCs w:val="20"/>
        </w:rPr>
        <w:t xml:space="preserve">Outside of formula: </w:t>
      </w:r>
      <w:r w:rsidR="00226BB9" w:rsidRPr="002C33C4">
        <w:rPr>
          <w:rFonts w:ascii="Arial" w:hAnsi="Arial"/>
          <w:b/>
          <w:szCs w:val="20"/>
        </w:rPr>
        <w:t xml:space="preserve">Retained Items </w:t>
      </w:r>
    </w:p>
    <w:p w:rsidR="00226BB9" w:rsidRDefault="00226BB9" w:rsidP="00226BB9">
      <w:pPr>
        <w:rPr>
          <w:rFonts w:ascii="Arial" w:hAnsi="Arial"/>
          <w:b/>
          <w:szCs w:val="20"/>
        </w:rPr>
      </w:pPr>
    </w:p>
    <w:p w:rsidR="00F978FC" w:rsidRDefault="00226BB9" w:rsidP="00800510">
      <w:pPr>
        <w:pStyle w:val="ListParagraph"/>
        <w:numPr>
          <w:ilvl w:val="1"/>
          <w:numId w:val="14"/>
        </w:numPr>
        <w:ind w:left="709" w:hanging="709"/>
        <w:rPr>
          <w:rFonts w:ascii="Arial" w:hAnsi="Arial"/>
          <w:szCs w:val="20"/>
        </w:rPr>
      </w:pPr>
      <w:r w:rsidRPr="001033F1">
        <w:rPr>
          <w:rFonts w:ascii="Arial" w:hAnsi="Arial"/>
          <w:szCs w:val="20"/>
        </w:rPr>
        <w:t>There are no specific parameters for retained elements within the 2 year old</w:t>
      </w:r>
      <w:r w:rsidR="001033F1" w:rsidRPr="001033F1">
        <w:rPr>
          <w:rFonts w:ascii="Arial" w:hAnsi="Arial"/>
          <w:szCs w:val="20"/>
        </w:rPr>
        <w:t xml:space="preserve"> </w:t>
      </w:r>
      <w:r w:rsidRPr="001033F1">
        <w:rPr>
          <w:rFonts w:ascii="Arial" w:hAnsi="Arial"/>
          <w:szCs w:val="20"/>
        </w:rPr>
        <w:t>formula and historically the</w:t>
      </w:r>
      <w:r w:rsidR="001033F1" w:rsidRPr="001033F1">
        <w:rPr>
          <w:rFonts w:ascii="Arial" w:hAnsi="Arial"/>
          <w:szCs w:val="20"/>
        </w:rPr>
        <w:t xml:space="preserve"> retained</w:t>
      </w:r>
      <w:r w:rsidRPr="001033F1">
        <w:rPr>
          <w:rFonts w:ascii="Arial" w:hAnsi="Arial"/>
          <w:szCs w:val="20"/>
        </w:rPr>
        <w:t xml:space="preserve"> element</w:t>
      </w:r>
      <w:r w:rsidR="00B65FC7">
        <w:rPr>
          <w:rFonts w:ascii="Arial" w:hAnsi="Arial"/>
          <w:szCs w:val="20"/>
        </w:rPr>
        <w:t xml:space="preserve"> has been funded from reserves.</w:t>
      </w:r>
      <w:r w:rsidRPr="001033F1">
        <w:rPr>
          <w:rFonts w:ascii="Arial" w:hAnsi="Arial"/>
          <w:szCs w:val="20"/>
        </w:rPr>
        <w:t xml:space="preserve"> This year </w:t>
      </w:r>
      <w:r w:rsidR="00B65FC7">
        <w:rPr>
          <w:rFonts w:ascii="Arial" w:hAnsi="Arial"/>
          <w:szCs w:val="20"/>
        </w:rPr>
        <w:t xml:space="preserve">£30k has been </w:t>
      </w:r>
      <w:r w:rsidRPr="001033F1">
        <w:rPr>
          <w:rFonts w:ascii="Arial" w:hAnsi="Arial"/>
          <w:szCs w:val="20"/>
        </w:rPr>
        <w:t>allocat</w:t>
      </w:r>
      <w:r w:rsidR="00B65FC7">
        <w:rPr>
          <w:rFonts w:ascii="Arial" w:hAnsi="Arial"/>
          <w:szCs w:val="20"/>
        </w:rPr>
        <w:t xml:space="preserve">ed </w:t>
      </w:r>
      <w:r w:rsidRPr="001033F1">
        <w:rPr>
          <w:rFonts w:ascii="Arial" w:hAnsi="Arial"/>
          <w:szCs w:val="20"/>
        </w:rPr>
        <w:t xml:space="preserve">for retained items </w:t>
      </w:r>
      <w:r w:rsidR="00B65FC7">
        <w:rPr>
          <w:rFonts w:ascii="Arial" w:hAnsi="Arial"/>
          <w:szCs w:val="20"/>
        </w:rPr>
        <w:t xml:space="preserve">which are included in the overall £895k in the table at paragraph 2.1. An additional £165k is earmarked from reserves to </w:t>
      </w:r>
      <w:r w:rsidR="00C46A37">
        <w:rPr>
          <w:rFonts w:ascii="Arial" w:hAnsi="Arial"/>
          <w:szCs w:val="20"/>
        </w:rPr>
        <w:t>provide</w:t>
      </w:r>
      <w:r w:rsidR="00B65FC7">
        <w:rPr>
          <w:rFonts w:ascii="Arial" w:hAnsi="Arial"/>
          <w:szCs w:val="20"/>
        </w:rPr>
        <w:t xml:space="preserve"> an overall 2 year old retained budget of £195k.</w:t>
      </w:r>
    </w:p>
    <w:p w:rsidR="00B65FC7" w:rsidRDefault="00B65FC7" w:rsidP="00B65FC7">
      <w:pPr>
        <w:rPr>
          <w:rFonts w:ascii="Arial" w:hAnsi="Arial"/>
          <w:szCs w:val="20"/>
        </w:rPr>
      </w:pPr>
    </w:p>
    <w:p w:rsidR="00B65FC7" w:rsidRPr="00B65FC7" w:rsidRDefault="00B65FC7" w:rsidP="00B65FC7">
      <w:pPr>
        <w:rPr>
          <w:rFonts w:ascii="Arial" w:hAnsi="Arial"/>
          <w:szCs w:val="20"/>
        </w:rPr>
      </w:pPr>
    </w:p>
    <w:p w:rsidR="00904A8D" w:rsidRDefault="00904A8D">
      <w:pPr>
        <w:pStyle w:val="Header"/>
        <w:tabs>
          <w:tab w:val="clear" w:pos="4153"/>
          <w:tab w:val="clear" w:pos="8306"/>
        </w:tabs>
        <w:ind w:left="1980"/>
      </w:pPr>
    </w:p>
    <w:p w:rsidR="00904A8D" w:rsidRDefault="00904A8D">
      <w:pPr>
        <w:pStyle w:val="Header"/>
        <w:numPr>
          <w:ilvl w:val="0"/>
          <w:numId w:val="2"/>
        </w:numPr>
        <w:tabs>
          <w:tab w:val="clear" w:pos="4153"/>
          <w:tab w:val="clear" w:pos="8306"/>
        </w:tabs>
        <w:ind w:hanging="720"/>
        <w:rPr>
          <w:b/>
        </w:rPr>
      </w:pPr>
      <w:r>
        <w:rPr>
          <w:rFonts w:cs="Arial"/>
          <w:b/>
          <w:bCs/>
          <w:sz w:val="28"/>
        </w:rPr>
        <w:lastRenderedPageBreak/>
        <w:t>Financial, resource and property implications</w:t>
      </w:r>
    </w:p>
    <w:p w:rsidR="00904A8D" w:rsidRDefault="00904A8D">
      <w:pPr>
        <w:pStyle w:val="Header"/>
        <w:tabs>
          <w:tab w:val="clear" w:pos="4153"/>
          <w:tab w:val="clear" w:pos="8306"/>
        </w:tabs>
        <w:rPr>
          <w:b/>
        </w:rPr>
      </w:pPr>
    </w:p>
    <w:p w:rsidR="00904A8D" w:rsidRDefault="00B56C5A">
      <w:pPr>
        <w:pStyle w:val="Header"/>
        <w:tabs>
          <w:tab w:val="clear" w:pos="4153"/>
          <w:tab w:val="clear" w:pos="8306"/>
        </w:tabs>
        <w:ind w:left="720" w:hanging="720"/>
        <w:rPr>
          <w:bCs/>
        </w:rPr>
      </w:pPr>
      <w:r>
        <w:rPr>
          <w:bCs/>
        </w:rPr>
        <w:t>4</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pPr>
        <w:pStyle w:val="Header"/>
        <w:numPr>
          <w:ilvl w:val="0"/>
          <w:numId w:val="2"/>
        </w:numPr>
        <w:tabs>
          <w:tab w:val="clear" w:pos="4153"/>
          <w:tab w:val="clear" w:pos="8306"/>
        </w:tabs>
        <w:ind w:hanging="720"/>
        <w:rPr>
          <w:b/>
        </w:rPr>
      </w:pPr>
      <w:r>
        <w:rPr>
          <w:rFonts w:cs="Arial"/>
          <w:b/>
          <w:bCs/>
          <w:sz w:val="28"/>
        </w:rPr>
        <w:t>Legal and statutory implications</w:t>
      </w:r>
      <w:r>
        <w:rPr>
          <w:b/>
        </w:rPr>
        <w:br/>
      </w:r>
    </w:p>
    <w:p w:rsidR="00904A8D" w:rsidRDefault="00904A8D">
      <w:pPr>
        <w:pStyle w:val="Header"/>
        <w:numPr>
          <w:ilvl w:val="1"/>
          <w:numId w:val="2"/>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pPr>
        <w:pStyle w:val="Header"/>
        <w:numPr>
          <w:ilvl w:val="0"/>
          <w:numId w:val="2"/>
        </w:numPr>
        <w:tabs>
          <w:tab w:val="clear" w:pos="4153"/>
          <w:tab w:val="clear" w:pos="8306"/>
        </w:tabs>
        <w:ind w:hanging="720"/>
        <w:rPr>
          <w:b/>
        </w:rPr>
      </w:pPr>
      <w:r>
        <w:rPr>
          <w:rFonts w:cs="Arial"/>
          <w:b/>
          <w:bCs/>
          <w:sz w:val="28"/>
        </w:rPr>
        <w:t>Human rights, equalities and community cohesion implications</w:t>
      </w:r>
      <w:r>
        <w:rPr>
          <w:b/>
        </w:rPr>
        <w:br/>
      </w:r>
    </w:p>
    <w:p w:rsidR="00904A8D" w:rsidRDefault="00904A8D">
      <w:pPr>
        <w:pStyle w:val="Header"/>
        <w:numPr>
          <w:ilvl w:val="1"/>
          <w:numId w:val="2"/>
        </w:numPr>
        <w:tabs>
          <w:tab w:val="clear" w:pos="720"/>
          <w:tab w:val="clear" w:pos="4153"/>
          <w:tab w:val="clear" w:pos="8306"/>
        </w:tabs>
        <w:ind w:left="900" w:hanging="900"/>
      </w:pPr>
      <w:r>
        <w:t>None at this stage.</w:t>
      </w:r>
    </w:p>
    <w:p w:rsidR="00904A8D" w:rsidRDefault="00904A8D">
      <w:pPr>
        <w:autoSpaceDE w:val="0"/>
        <w:autoSpaceDN w:val="0"/>
        <w:adjustRightInd w:val="0"/>
        <w:rPr>
          <w:color w:val="000000"/>
          <w:lang w:val="en-US"/>
        </w:rPr>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Appendices</w:t>
      </w:r>
    </w:p>
    <w:p w:rsidR="00904A8D" w:rsidRDefault="00904A8D">
      <w:pPr>
        <w:pStyle w:val="Header"/>
        <w:tabs>
          <w:tab w:val="clear" w:pos="4153"/>
          <w:tab w:val="clear" w:pos="8306"/>
        </w:tabs>
      </w:pPr>
    </w:p>
    <w:p w:rsidR="00904A8D" w:rsidRDefault="000E0556">
      <w:pPr>
        <w:pStyle w:val="Header"/>
        <w:numPr>
          <w:ilvl w:val="1"/>
          <w:numId w:val="2"/>
        </w:numPr>
        <w:tabs>
          <w:tab w:val="clear" w:pos="720"/>
          <w:tab w:val="clear" w:pos="4153"/>
          <w:tab w:val="clear" w:pos="8306"/>
        </w:tabs>
        <w:ind w:left="900" w:hanging="900"/>
      </w:pPr>
      <w:r>
        <w:t>Appendix A: EYSFF modelling 201</w:t>
      </w:r>
      <w:r w:rsidR="00B65FC7">
        <w:t>7/18</w:t>
      </w:r>
    </w:p>
    <w:p w:rsidR="00F978FC" w:rsidRDefault="00F978FC" w:rsidP="00F978FC">
      <w:pPr>
        <w:pStyle w:val="Header"/>
        <w:numPr>
          <w:ilvl w:val="1"/>
          <w:numId w:val="2"/>
        </w:numPr>
        <w:tabs>
          <w:tab w:val="clear" w:pos="720"/>
          <w:tab w:val="clear" w:pos="4153"/>
          <w:tab w:val="clear" w:pos="8306"/>
        </w:tabs>
        <w:ind w:left="900" w:hanging="900"/>
      </w:pPr>
      <w:r>
        <w:t>A</w:t>
      </w:r>
      <w:r w:rsidR="00B65FC7">
        <w:t>ppendix B: 2YO FF modelling 2017/18</w:t>
      </w:r>
    </w:p>
    <w:p w:rsidR="00F978FC" w:rsidRDefault="00F978FC" w:rsidP="00F978FC">
      <w:pPr>
        <w:pStyle w:val="Header"/>
        <w:tabs>
          <w:tab w:val="clear" w:pos="4153"/>
          <w:tab w:val="clear" w:pos="8306"/>
        </w:tabs>
        <w:ind w:left="900"/>
      </w:pPr>
    </w:p>
    <w:p w:rsidR="00904A8D" w:rsidRDefault="00904A8D">
      <w:pPr>
        <w:pStyle w:val="Header"/>
        <w:tabs>
          <w:tab w:val="clear" w:pos="4153"/>
          <w:tab w:val="clear" w:pos="8306"/>
        </w:tabs>
      </w:pPr>
      <w:r>
        <w:tab/>
      </w: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974BB9">
      <w:pPr>
        <w:pStyle w:val="Header"/>
        <w:numPr>
          <w:ilvl w:val="1"/>
          <w:numId w:val="2"/>
        </w:numPr>
        <w:tabs>
          <w:tab w:val="clear" w:pos="4153"/>
          <w:tab w:val="clear" w:pos="8306"/>
          <w:tab w:val="left" w:pos="720"/>
        </w:tabs>
        <w:ind w:hanging="720"/>
      </w:pPr>
      <w:r>
        <w:t>Centrally held financial information and other papers held by the Children Schools and Families Finance Team.</w:t>
      </w:r>
    </w:p>
    <w:p w:rsidR="00904A8D" w:rsidRDefault="00904A8D">
      <w:pPr>
        <w:pStyle w:val="Header"/>
        <w:tabs>
          <w:tab w:val="clear" w:pos="4153"/>
          <w:tab w:val="clear" w:pos="8306"/>
        </w:tabs>
      </w:pPr>
    </w:p>
    <w:p w:rsidR="00904A8D" w:rsidRDefault="00904A8D">
      <w:pPr>
        <w:pStyle w:val="Header"/>
        <w:numPr>
          <w:ilvl w:val="0"/>
          <w:numId w:val="2"/>
        </w:numPr>
        <w:tabs>
          <w:tab w:val="clear" w:pos="4153"/>
          <w:tab w:val="clear" w:pos="8306"/>
        </w:tabs>
        <w:ind w:hanging="720"/>
        <w:rPr>
          <w:rFonts w:cs="Arial"/>
          <w:b/>
          <w:bCs/>
          <w:sz w:val="28"/>
        </w:rPr>
      </w:pPr>
      <w:r>
        <w:rPr>
          <w:rFonts w:cs="Arial"/>
          <w:b/>
          <w:bCs/>
          <w:sz w:val="28"/>
        </w:rPr>
        <w:t>Report author</w:t>
      </w:r>
    </w:p>
    <w:p w:rsidR="00904A8D" w:rsidRDefault="00904A8D">
      <w:pPr>
        <w:pStyle w:val="Header"/>
        <w:tabs>
          <w:tab w:val="clear" w:pos="4153"/>
          <w:tab w:val="clear" w:pos="8306"/>
        </w:tabs>
      </w:pPr>
    </w:p>
    <w:p w:rsidR="00925822" w:rsidRDefault="00B65FC7">
      <w:pPr>
        <w:pStyle w:val="Header"/>
        <w:tabs>
          <w:tab w:val="clear" w:pos="4153"/>
          <w:tab w:val="clear" w:pos="8306"/>
        </w:tabs>
      </w:pPr>
      <w:r>
        <w:t>Allison Jones</w:t>
      </w:r>
      <w:r w:rsidR="00925822">
        <w:t>, Head of Service for Early Years</w:t>
      </w:r>
    </w:p>
    <w:p w:rsidR="00925822" w:rsidRDefault="00674A87">
      <w:pPr>
        <w:pStyle w:val="Header"/>
        <w:tabs>
          <w:tab w:val="clear" w:pos="4153"/>
          <w:tab w:val="clear" w:pos="8306"/>
        </w:tabs>
      </w:pPr>
      <w:hyperlink r:id="rId8" w:history="1">
        <w:r w:rsidR="00925822" w:rsidRPr="00304D19">
          <w:rPr>
            <w:rStyle w:val="Hyperlink"/>
          </w:rPr>
          <w:t>allison.jones@merton.gov.uk</w:t>
        </w:r>
      </w:hyperlink>
      <w:r w:rsidR="00925822">
        <w:t xml:space="preserve"> </w:t>
      </w:r>
    </w:p>
    <w:p w:rsidR="00925822" w:rsidRDefault="00925822">
      <w:pPr>
        <w:pStyle w:val="Header"/>
        <w:tabs>
          <w:tab w:val="clear" w:pos="4153"/>
          <w:tab w:val="clear" w:pos="8306"/>
        </w:tabs>
      </w:pPr>
    </w:p>
    <w:p w:rsidR="00904A8D" w:rsidRDefault="00904A8D">
      <w:pPr>
        <w:pStyle w:val="Header"/>
        <w:tabs>
          <w:tab w:val="clear" w:pos="4153"/>
          <w:tab w:val="clear" w:pos="8306"/>
        </w:tabs>
      </w:pPr>
      <w:r>
        <w:t>Marius Karsten</w:t>
      </w:r>
      <w:r w:rsidR="00744C7F">
        <w:t>-Strydom</w:t>
      </w:r>
      <w:r>
        <w:t xml:space="preserve">, Service Financial Adviser CSF    </w:t>
      </w:r>
    </w:p>
    <w:p w:rsidR="00904A8D" w:rsidRDefault="00674A87">
      <w:pPr>
        <w:pStyle w:val="Header"/>
        <w:tabs>
          <w:tab w:val="clear" w:pos="4153"/>
          <w:tab w:val="clear" w:pos="8306"/>
        </w:tabs>
      </w:pPr>
      <w:hyperlink r:id="rId9"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rsidP="002D513F">
      <w:pPr>
        <w:pStyle w:val="Header"/>
        <w:tabs>
          <w:tab w:val="clear" w:pos="4153"/>
          <w:tab w:val="clear" w:pos="8306"/>
        </w:tabs>
        <w:rPr>
          <w:b/>
          <w:sz w:val="36"/>
        </w:rPr>
      </w:pPr>
      <w:r>
        <w:t xml:space="preserve">Further information about Merton Council can be obtained from its web site </w:t>
      </w:r>
      <w:hyperlink r:id="rId10" w:history="1">
        <w:r>
          <w:rPr>
            <w:rStyle w:val="Hyperlink"/>
          </w:rPr>
          <w:t>www.merton.gov.uk</w:t>
        </w:r>
      </w:hyperlink>
      <w:r>
        <w:t xml:space="preserve"> </w:t>
      </w:r>
    </w:p>
    <w:sectPr w:rsidR="00904A8D" w:rsidSect="00B56C5A">
      <w:footerReference w:type="default" r:id="rId11"/>
      <w:pgSz w:w="11906" w:h="16838"/>
      <w:pgMar w:top="1440" w:right="1418" w:bottom="12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DE" w:rsidRDefault="00B908DE">
      <w:r>
        <w:separator/>
      </w:r>
    </w:p>
  </w:endnote>
  <w:endnote w:type="continuationSeparator" w:id="0">
    <w:p w:rsidR="00B908DE" w:rsidRDefault="00B9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DE" w:rsidRDefault="00B908DE"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674A8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DE" w:rsidRDefault="00B908DE">
      <w:r>
        <w:separator/>
      </w:r>
    </w:p>
  </w:footnote>
  <w:footnote w:type="continuationSeparator" w:id="0">
    <w:p w:rsidR="00B908DE" w:rsidRDefault="00B90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0FFB"/>
    <w:multiLevelType w:val="hybridMultilevel"/>
    <w:tmpl w:val="894C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767788"/>
    <w:multiLevelType w:val="hybridMultilevel"/>
    <w:tmpl w:val="CCA45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D8D7377"/>
    <w:multiLevelType w:val="multilevel"/>
    <w:tmpl w:val="B9A44DA4"/>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9955D6"/>
    <w:multiLevelType w:val="hybridMultilevel"/>
    <w:tmpl w:val="7DE0A13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0F202D"/>
    <w:multiLevelType w:val="hybridMultilevel"/>
    <w:tmpl w:val="6F50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35632B"/>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98B2095"/>
    <w:multiLevelType w:val="multilevel"/>
    <w:tmpl w:val="70609530"/>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360" w:hanging="360"/>
      </w:pPr>
      <w:rPr>
        <w:rFonts w:cs="Arial" w:hint="default"/>
        <w:sz w:val="24"/>
        <w:szCs w:val="24"/>
      </w:rPr>
    </w:lvl>
    <w:lvl w:ilvl="2">
      <w:start w:val="1"/>
      <w:numFmt w:val="decimal"/>
      <w:isLgl/>
      <w:lvlText w:val="%1.%2.%3"/>
      <w:lvlJc w:val="left"/>
      <w:pPr>
        <w:ind w:left="720" w:hanging="720"/>
      </w:pPr>
      <w:rPr>
        <w:rFonts w:cs="Arial" w:hint="default"/>
        <w:sz w:val="22"/>
      </w:rPr>
    </w:lvl>
    <w:lvl w:ilvl="3">
      <w:start w:val="1"/>
      <w:numFmt w:val="decimal"/>
      <w:isLgl/>
      <w:lvlText w:val="%1.%2.%3.%4"/>
      <w:lvlJc w:val="left"/>
      <w:pPr>
        <w:ind w:left="1080" w:hanging="1080"/>
      </w:pPr>
      <w:rPr>
        <w:rFonts w:cs="Arial" w:hint="default"/>
        <w:sz w:val="22"/>
      </w:rPr>
    </w:lvl>
    <w:lvl w:ilvl="4">
      <w:start w:val="1"/>
      <w:numFmt w:val="decimal"/>
      <w:isLgl/>
      <w:lvlText w:val="%1.%2.%3.%4.%5"/>
      <w:lvlJc w:val="left"/>
      <w:pPr>
        <w:ind w:left="1080" w:hanging="1080"/>
      </w:pPr>
      <w:rPr>
        <w:rFonts w:cs="Arial" w:hint="default"/>
        <w:sz w:val="22"/>
      </w:rPr>
    </w:lvl>
    <w:lvl w:ilvl="5">
      <w:start w:val="1"/>
      <w:numFmt w:val="decimal"/>
      <w:isLgl/>
      <w:lvlText w:val="%1.%2.%3.%4.%5.%6"/>
      <w:lvlJc w:val="left"/>
      <w:pPr>
        <w:ind w:left="1440" w:hanging="1440"/>
      </w:pPr>
      <w:rPr>
        <w:rFonts w:cs="Arial" w:hint="default"/>
        <w:sz w:val="22"/>
      </w:rPr>
    </w:lvl>
    <w:lvl w:ilvl="6">
      <w:start w:val="1"/>
      <w:numFmt w:val="decimal"/>
      <w:isLgl/>
      <w:lvlText w:val="%1.%2.%3.%4.%5.%6.%7"/>
      <w:lvlJc w:val="left"/>
      <w:pPr>
        <w:ind w:left="1440" w:hanging="1440"/>
      </w:pPr>
      <w:rPr>
        <w:rFonts w:cs="Arial" w:hint="default"/>
        <w:sz w:val="22"/>
      </w:rPr>
    </w:lvl>
    <w:lvl w:ilvl="7">
      <w:start w:val="1"/>
      <w:numFmt w:val="decimal"/>
      <w:isLgl/>
      <w:lvlText w:val="%1.%2.%3.%4.%5.%6.%7.%8"/>
      <w:lvlJc w:val="left"/>
      <w:pPr>
        <w:ind w:left="1800" w:hanging="1800"/>
      </w:pPr>
      <w:rPr>
        <w:rFonts w:cs="Arial" w:hint="default"/>
        <w:sz w:val="22"/>
      </w:rPr>
    </w:lvl>
    <w:lvl w:ilvl="8">
      <w:start w:val="1"/>
      <w:numFmt w:val="decimal"/>
      <w:isLgl/>
      <w:lvlText w:val="%1.%2.%3.%4.%5.%6.%7.%8.%9"/>
      <w:lvlJc w:val="left"/>
      <w:pPr>
        <w:ind w:left="1800" w:hanging="1800"/>
      </w:pPr>
      <w:rPr>
        <w:rFonts w:cs="Arial" w:hint="default"/>
        <w:sz w:val="22"/>
      </w:rPr>
    </w:lvl>
  </w:abstractNum>
  <w:abstractNum w:abstractNumId="13">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13"/>
  </w:num>
  <w:num w:numId="5">
    <w:abstractNumId w:val="7"/>
  </w:num>
  <w:num w:numId="6">
    <w:abstractNumId w:val="4"/>
  </w:num>
  <w:num w:numId="7">
    <w:abstractNumId w:val="8"/>
  </w:num>
  <w:num w:numId="8">
    <w:abstractNumId w:val="5"/>
  </w:num>
  <w:num w:numId="9">
    <w:abstractNumId w:val="0"/>
  </w:num>
  <w:num w:numId="10">
    <w:abstractNumId w:val="2"/>
  </w:num>
  <w:num w:numId="11">
    <w:abstractNumId w:val="6"/>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10E9D"/>
    <w:rsid w:val="00014667"/>
    <w:rsid w:val="000231BF"/>
    <w:rsid w:val="0005477E"/>
    <w:rsid w:val="00070A6F"/>
    <w:rsid w:val="000A21B0"/>
    <w:rsid w:val="000A41CD"/>
    <w:rsid w:val="000B22D4"/>
    <w:rsid w:val="000C6058"/>
    <w:rsid w:val="000E0556"/>
    <w:rsid w:val="000F0383"/>
    <w:rsid w:val="00101C21"/>
    <w:rsid w:val="001033F1"/>
    <w:rsid w:val="0011007A"/>
    <w:rsid w:val="00112415"/>
    <w:rsid w:val="001370A4"/>
    <w:rsid w:val="00164C7E"/>
    <w:rsid w:val="00171895"/>
    <w:rsid w:val="00185B84"/>
    <w:rsid w:val="00192B91"/>
    <w:rsid w:val="0019374C"/>
    <w:rsid w:val="001C2B4D"/>
    <w:rsid w:val="001C3BE0"/>
    <w:rsid w:val="001E6912"/>
    <w:rsid w:val="00201768"/>
    <w:rsid w:val="002157C8"/>
    <w:rsid w:val="00226BB9"/>
    <w:rsid w:val="00234C98"/>
    <w:rsid w:val="00243231"/>
    <w:rsid w:val="002717E3"/>
    <w:rsid w:val="00272BD9"/>
    <w:rsid w:val="002A011D"/>
    <w:rsid w:val="002A7BB9"/>
    <w:rsid w:val="002D513F"/>
    <w:rsid w:val="002D6468"/>
    <w:rsid w:val="002E5D2C"/>
    <w:rsid w:val="002E6C06"/>
    <w:rsid w:val="002F4C52"/>
    <w:rsid w:val="00301840"/>
    <w:rsid w:val="00343274"/>
    <w:rsid w:val="00343C21"/>
    <w:rsid w:val="003562D3"/>
    <w:rsid w:val="00374AD2"/>
    <w:rsid w:val="00391253"/>
    <w:rsid w:val="003E72EE"/>
    <w:rsid w:val="00410D3D"/>
    <w:rsid w:val="00412C03"/>
    <w:rsid w:val="00422992"/>
    <w:rsid w:val="00424D25"/>
    <w:rsid w:val="004253D4"/>
    <w:rsid w:val="00461B87"/>
    <w:rsid w:val="00462DF1"/>
    <w:rsid w:val="004648CB"/>
    <w:rsid w:val="004651BE"/>
    <w:rsid w:val="0048394B"/>
    <w:rsid w:val="00487E02"/>
    <w:rsid w:val="004A2B5D"/>
    <w:rsid w:val="004A5776"/>
    <w:rsid w:val="004C26F6"/>
    <w:rsid w:val="004D2198"/>
    <w:rsid w:val="004F1ADD"/>
    <w:rsid w:val="00502787"/>
    <w:rsid w:val="00510738"/>
    <w:rsid w:val="0053247D"/>
    <w:rsid w:val="005549CF"/>
    <w:rsid w:val="00587F20"/>
    <w:rsid w:val="005B1BE3"/>
    <w:rsid w:val="005E0076"/>
    <w:rsid w:val="005F16BA"/>
    <w:rsid w:val="00610494"/>
    <w:rsid w:val="006331E9"/>
    <w:rsid w:val="00633A69"/>
    <w:rsid w:val="00663BD2"/>
    <w:rsid w:val="00672CDF"/>
    <w:rsid w:val="00674A87"/>
    <w:rsid w:val="00683B04"/>
    <w:rsid w:val="0068731D"/>
    <w:rsid w:val="006A1CB0"/>
    <w:rsid w:val="006C0C1F"/>
    <w:rsid w:val="006E2A53"/>
    <w:rsid w:val="006F7E4E"/>
    <w:rsid w:val="00701104"/>
    <w:rsid w:val="00725452"/>
    <w:rsid w:val="007361E3"/>
    <w:rsid w:val="00744311"/>
    <w:rsid w:val="00744C7F"/>
    <w:rsid w:val="007662BC"/>
    <w:rsid w:val="00772B0C"/>
    <w:rsid w:val="007767BA"/>
    <w:rsid w:val="00782CF0"/>
    <w:rsid w:val="00786603"/>
    <w:rsid w:val="00787058"/>
    <w:rsid w:val="007E18A6"/>
    <w:rsid w:val="007F14DE"/>
    <w:rsid w:val="007F1509"/>
    <w:rsid w:val="00800510"/>
    <w:rsid w:val="00812CF9"/>
    <w:rsid w:val="008162C5"/>
    <w:rsid w:val="00822CFC"/>
    <w:rsid w:val="00832336"/>
    <w:rsid w:val="00854DA2"/>
    <w:rsid w:val="00871DB9"/>
    <w:rsid w:val="008912E4"/>
    <w:rsid w:val="008A2C83"/>
    <w:rsid w:val="008C19FB"/>
    <w:rsid w:val="008D4BA3"/>
    <w:rsid w:val="008F24D3"/>
    <w:rsid w:val="008F6925"/>
    <w:rsid w:val="00904A8D"/>
    <w:rsid w:val="0092072A"/>
    <w:rsid w:val="00925822"/>
    <w:rsid w:val="00942A29"/>
    <w:rsid w:val="00974BB9"/>
    <w:rsid w:val="0099276E"/>
    <w:rsid w:val="00993A59"/>
    <w:rsid w:val="009944A5"/>
    <w:rsid w:val="009A2FBF"/>
    <w:rsid w:val="009C5A47"/>
    <w:rsid w:val="009D66C8"/>
    <w:rsid w:val="00A0291D"/>
    <w:rsid w:val="00A26B18"/>
    <w:rsid w:val="00A63016"/>
    <w:rsid w:val="00A74219"/>
    <w:rsid w:val="00A82E3A"/>
    <w:rsid w:val="00A94D56"/>
    <w:rsid w:val="00A9533D"/>
    <w:rsid w:val="00AA24F9"/>
    <w:rsid w:val="00AA58D2"/>
    <w:rsid w:val="00AB0EFC"/>
    <w:rsid w:val="00AC15C4"/>
    <w:rsid w:val="00AE2C35"/>
    <w:rsid w:val="00AE475F"/>
    <w:rsid w:val="00AF1FA6"/>
    <w:rsid w:val="00AF2743"/>
    <w:rsid w:val="00B176B0"/>
    <w:rsid w:val="00B261E4"/>
    <w:rsid w:val="00B36C28"/>
    <w:rsid w:val="00B56C5A"/>
    <w:rsid w:val="00B65FC7"/>
    <w:rsid w:val="00B908DE"/>
    <w:rsid w:val="00B92D2A"/>
    <w:rsid w:val="00BB37ED"/>
    <w:rsid w:val="00BD2328"/>
    <w:rsid w:val="00BD3873"/>
    <w:rsid w:val="00BE5714"/>
    <w:rsid w:val="00BE5D2D"/>
    <w:rsid w:val="00BF2ADB"/>
    <w:rsid w:val="00BF6604"/>
    <w:rsid w:val="00C16A4D"/>
    <w:rsid w:val="00C21389"/>
    <w:rsid w:val="00C216B0"/>
    <w:rsid w:val="00C23A46"/>
    <w:rsid w:val="00C26836"/>
    <w:rsid w:val="00C3413F"/>
    <w:rsid w:val="00C4634B"/>
    <w:rsid w:val="00C46A37"/>
    <w:rsid w:val="00C50242"/>
    <w:rsid w:val="00C81BE2"/>
    <w:rsid w:val="00C871AB"/>
    <w:rsid w:val="00CA18EC"/>
    <w:rsid w:val="00CB3DFC"/>
    <w:rsid w:val="00CF272F"/>
    <w:rsid w:val="00CF2F26"/>
    <w:rsid w:val="00D1297D"/>
    <w:rsid w:val="00D15F05"/>
    <w:rsid w:val="00D23680"/>
    <w:rsid w:val="00D45591"/>
    <w:rsid w:val="00D56828"/>
    <w:rsid w:val="00D61869"/>
    <w:rsid w:val="00D6706B"/>
    <w:rsid w:val="00D71472"/>
    <w:rsid w:val="00DA6130"/>
    <w:rsid w:val="00DB17E4"/>
    <w:rsid w:val="00DB5E20"/>
    <w:rsid w:val="00DB6E0D"/>
    <w:rsid w:val="00DD6278"/>
    <w:rsid w:val="00DE121B"/>
    <w:rsid w:val="00DF26E2"/>
    <w:rsid w:val="00DF48E6"/>
    <w:rsid w:val="00E227A1"/>
    <w:rsid w:val="00E376A6"/>
    <w:rsid w:val="00E61A46"/>
    <w:rsid w:val="00E71736"/>
    <w:rsid w:val="00EA0328"/>
    <w:rsid w:val="00EA2E68"/>
    <w:rsid w:val="00EC2DB9"/>
    <w:rsid w:val="00ED7DB4"/>
    <w:rsid w:val="00EE45A9"/>
    <w:rsid w:val="00F03F39"/>
    <w:rsid w:val="00F12ABA"/>
    <w:rsid w:val="00F26633"/>
    <w:rsid w:val="00F4301A"/>
    <w:rsid w:val="00F51077"/>
    <w:rsid w:val="00F84E82"/>
    <w:rsid w:val="00F91EBA"/>
    <w:rsid w:val="00F978FC"/>
    <w:rsid w:val="00FA64AC"/>
    <w:rsid w:val="00FD2F5E"/>
    <w:rsid w:val="00FF32FA"/>
    <w:rsid w:val="00FF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CB0"/>
    <w:pPr>
      <w:ind w:left="720"/>
    </w:pPr>
  </w:style>
  <w:style w:type="paragraph" w:customStyle="1" w:styleId="DfESOutNumbered">
    <w:name w:val="DfESOutNumbered"/>
    <w:basedOn w:val="Normal"/>
    <w:rsid w:val="00B908DE"/>
    <w:pPr>
      <w:widowControl w:val="0"/>
      <w:numPr>
        <w:numId w:val="10"/>
      </w:numPr>
      <w:overflowPunct w:val="0"/>
      <w:autoSpaceDE w:val="0"/>
      <w:autoSpaceDN w:val="0"/>
      <w:adjustRightInd w:val="0"/>
      <w:spacing w:after="240" w:line="276" w:lineRule="auto"/>
      <w:textAlignment w:val="baseline"/>
    </w:pPr>
    <w:rPr>
      <w:rFonts w:ascii="Arial" w:eastAsiaTheme="minorHAnsi" w:hAnsi="Arial"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CB0"/>
    <w:pPr>
      <w:ind w:left="720"/>
    </w:pPr>
  </w:style>
  <w:style w:type="paragraph" w:customStyle="1" w:styleId="DfESOutNumbered">
    <w:name w:val="DfESOutNumbered"/>
    <w:basedOn w:val="Normal"/>
    <w:rsid w:val="00B908DE"/>
    <w:pPr>
      <w:widowControl w:val="0"/>
      <w:numPr>
        <w:numId w:val="10"/>
      </w:numPr>
      <w:overflowPunct w:val="0"/>
      <w:autoSpaceDE w:val="0"/>
      <w:autoSpaceDN w:val="0"/>
      <w:adjustRightInd w:val="0"/>
      <w:spacing w:after="240" w:line="276" w:lineRule="auto"/>
      <w:textAlignment w:val="baseline"/>
    </w:pPr>
    <w:rPr>
      <w:rFonts w:ascii="Arial" w:eastAsiaTheme="minorHAnsi"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son.jones@merton.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merton.gov.uk" TargetMode="External"/><Relationship Id="rId4" Type="http://schemas.openxmlformats.org/officeDocument/2006/relationships/settings" Target="settings.xml"/><Relationship Id="rId9" Type="http://schemas.openxmlformats.org/officeDocument/2006/relationships/hyperlink" Target="mailto:Zoe.Church@merton.gov.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8227B5-A102-4694-9D99-89B59A93760A}"/>
</file>

<file path=customXml/itemProps2.xml><?xml version="1.0" encoding="utf-8"?>
<ds:datastoreItem xmlns:ds="http://schemas.openxmlformats.org/officeDocument/2006/customXml" ds:itemID="{F7562B75-F4EE-4BC3-A203-AB529D99726B}"/>
</file>

<file path=customXml/itemProps3.xml><?xml version="1.0" encoding="utf-8"?>
<ds:datastoreItem xmlns:ds="http://schemas.openxmlformats.org/officeDocument/2006/customXml" ds:itemID="{4A8765CD-AA97-48FB-B39E-B3F064CFFF30}"/>
</file>

<file path=docProps/app.xml><?xml version="1.0" encoding="utf-8"?>
<Properties xmlns="http://schemas.openxmlformats.org/officeDocument/2006/extended-properties" xmlns:vt="http://schemas.openxmlformats.org/officeDocument/2006/docPropsVTypes">
  <Template>Normal</Template>
  <TotalTime>175</TotalTime>
  <Pages>6</Pages>
  <Words>1921</Words>
  <Characters>9766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11664</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marius karsten</cp:lastModifiedBy>
  <cp:revision>16</cp:revision>
  <cp:lastPrinted>2017-01-27T15:28:00Z</cp:lastPrinted>
  <dcterms:created xsi:type="dcterms:W3CDTF">2016-08-16T13:34:00Z</dcterms:created>
  <dcterms:modified xsi:type="dcterms:W3CDTF">2017-01-27T15:29:00Z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