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3182" w14:textId="77777777" w:rsidR="00904A8D" w:rsidRDefault="00904A8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2946"/>
      </w:tblGrid>
      <w:tr w:rsidR="00904A8D" w:rsidRPr="00420DD5" w14:paraId="6E614FF5" w14:textId="77777777">
        <w:trPr>
          <w:trHeight w:val="680"/>
        </w:trPr>
        <w:tc>
          <w:tcPr>
            <w:tcW w:w="6440" w:type="dxa"/>
          </w:tcPr>
          <w:p w14:paraId="25B822D1" w14:textId="77777777" w:rsidR="00904A8D" w:rsidRDefault="00904A8D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b/>
                <w:sz w:val="32"/>
              </w:rPr>
            </w:pPr>
          </w:p>
          <w:p w14:paraId="241C768E" w14:textId="7303857E" w:rsidR="00904A8D" w:rsidRPr="00420DD5" w:rsidRDefault="009667E9" w:rsidP="00AD3F1E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b/>
              </w:rPr>
            </w:pPr>
            <w:r w:rsidRPr="00420DD5">
              <w:rPr>
                <w:b/>
                <w:sz w:val="32"/>
              </w:rPr>
              <w:t xml:space="preserve">Schools Forum    </w:t>
            </w:r>
            <w:r w:rsidR="00C54632">
              <w:rPr>
                <w:b/>
                <w:sz w:val="32"/>
              </w:rPr>
              <w:t>28</w:t>
            </w:r>
            <w:r w:rsidR="00BF20A7">
              <w:rPr>
                <w:b/>
                <w:sz w:val="32"/>
              </w:rPr>
              <w:t>th September</w:t>
            </w:r>
            <w:r w:rsidR="00904A8D" w:rsidRPr="00420DD5">
              <w:rPr>
                <w:b/>
                <w:sz w:val="32"/>
              </w:rPr>
              <w:t xml:space="preserve"> 20</w:t>
            </w:r>
            <w:r w:rsidR="00154EB3">
              <w:rPr>
                <w:b/>
                <w:sz w:val="32"/>
              </w:rPr>
              <w:t>21</w:t>
            </w:r>
          </w:p>
        </w:tc>
        <w:tc>
          <w:tcPr>
            <w:tcW w:w="2946" w:type="dxa"/>
          </w:tcPr>
          <w:p w14:paraId="1B0F503A" w14:textId="77777777" w:rsidR="00C54632" w:rsidRDefault="00904A8D" w:rsidP="00A87FA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40"/>
                <w:szCs w:val="40"/>
              </w:rPr>
            </w:pPr>
            <w:r w:rsidRPr="00420DD5">
              <w:t xml:space="preserve">Item </w:t>
            </w:r>
            <w:r w:rsidR="00DB5E20" w:rsidRPr="00420DD5">
              <w:rPr>
                <w:sz w:val="40"/>
                <w:szCs w:val="40"/>
              </w:rPr>
              <w:t xml:space="preserve">   </w:t>
            </w:r>
            <w:r w:rsidR="00C54632">
              <w:rPr>
                <w:sz w:val="40"/>
                <w:szCs w:val="40"/>
              </w:rPr>
              <w:t>4</w:t>
            </w:r>
          </w:p>
          <w:p w14:paraId="72FCFC20" w14:textId="2DFE97B9" w:rsidR="00904A8D" w:rsidRPr="00420DD5" w:rsidRDefault="00904A8D" w:rsidP="00A87FA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40"/>
                <w:szCs w:val="40"/>
              </w:rPr>
            </w:pPr>
          </w:p>
        </w:tc>
      </w:tr>
    </w:tbl>
    <w:p w14:paraId="26455F6B" w14:textId="77777777" w:rsidR="00904A8D" w:rsidRPr="00420DD5" w:rsidRDefault="00904A8D">
      <w:pPr>
        <w:pStyle w:val="Header"/>
        <w:tabs>
          <w:tab w:val="clear" w:pos="4153"/>
          <w:tab w:val="clear" w:pos="8306"/>
        </w:tabs>
        <w:jc w:val="right"/>
        <w:rPr>
          <w:highlight w:val="yellow"/>
        </w:rPr>
      </w:pPr>
    </w:p>
    <w:p w14:paraId="1B6CB1B9" w14:textId="77777777" w:rsidR="00BF20A7" w:rsidRDefault="00DB5E20">
      <w:pPr>
        <w:pStyle w:val="Header"/>
        <w:tabs>
          <w:tab w:val="clear" w:pos="4153"/>
          <w:tab w:val="clear" w:pos="8306"/>
        </w:tabs>
        <w:rPr>
          <w:rFonts w:cs="Arial"/>
          <w:b/>
        </w:rPr>
      </w:pPr>
      <w:r w:rsidRPr="00420DD5">
        <w:rPr>
          <w:b/>
        </w:rPr>
        <w:t xml:space="preserve">SUBJECT:  </w:t>
      </w:r>
      <w:r w:rsidR="00BF20A7">
        <w:rPr>
          <w:rFonts w:cs="Arial"/>
          <w:b/>
        </w:rPr>
        <w:t xml:space="preserve">National Funding Formula (NFF) for Schools and High Needs 2022- </w:t>
      </w:r>
    </w:p>
    <w:p w14:paraId="4E6A579F" w14:textId="32257156" w:rsidR="00904A8D" w:rsidRPr="00420DD5" w:rsidRDefault="00BF20A7">
      <w:pPr>
        <w:pStyle w:val="Header"/>
        <w:tabs>
          <w:tab w:val="clear" w:pos="4153"/>
          <w:tab w:val="clear" w:pos="8306"/>
        </w:tabs>
      </w:pPr>
      <w:r>
        <w:rPr>
          <w:rFonts w:cs="Arial"/>
          <w:b/>
        </w:rPr>
        <w:t xml:space="preserve">                    23 Publication</w:t>
      </w:r>
    </w:p>
    <w:p w14:paraId="60B0611A" w14:textId="77777777" w:rsidR="00904A8D" w:rsidRPr="00420DD5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14:paraId="698A0353" w14:textId="25B76B9E" w:rsidR="00904A8D" w:rsidRPr="00420DD5" w:rsidRDefault="00904A8D">
      <w:pPr>
        <w:pStyle w:val="Header"/>
        <w:tabs>
          <w:tab w:val="clear" w:pos="4153"/>
          <w:tab w:val="clear" w:pos="8306"/>
        </w:tabs>
      </w:pPr>
      <w:r w:rsidRPr="00420DD5">
        <w:rPr>
          <w:b/>
        </w:rPr>
        <w:t xml:space="preserve">LEAD OFFICER: </w:t>
      </w:r>
      <w:r w:rsidR="00154EB3">
        <w:rPr>
          <w:b/>
        </w:rPr>
        <w:t>Pat Harvey</w:t>
      </w:r>
      <w:r w:rsidRPr="00420DD5">
        <w:rPr>
          <w:bCs/>
        </w:rPr>
        <w:t>,</w:t>
      </w:r>
      <w:r w:rsidRPr="00420DD5">
        <w:t xml:space="preserve"> </w:t>
      </w:r>
      <w:r w:rsidR="00F0466C">
        <w:t xml:space="preserve">Interim Principal Accountant, </w:t>
      </w:r>
      <w:r w:rsidRPr="00420DD5">
        <w:t>Children, Schools and Families Finance</w:t>
      </w:r>
    </w:p>
    <w:p w14:paraId="6EAE8208" w14:textId="77777777" w:rsidR="00904A8D" w:rsidRPr="00420DD5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14:paraId="37BF68EA" w14:textId="77777777" w:rsidR="00904A8D" w:rsidRPr="00420DD5" w:rsidRDefault="00904A8D">
      <w:pPr>
        <w:pStyle w:val="Header"/>
        <w:tabs>
          <w:tab w:val="clear" w:pos="4153"/>
          <w:tab w:val="clear" w:pos="8306"/>
        </w:tabs>
        <w:rPr>
          <w:b/>
          <w:sz w:val="28"/>
        </w:rPr>
      </w:pPr>
      <w:r w:rsidRPr="00420DD5">
        <w:rPr>
          <w:b/>
          <w:sz w:val="28"/>
        </w:rPr>
        <w:t xml:space="preserve">RECOMMENDATION </w:t>
      </w:r>
    </w:p>
    <w:p w14:paraId="4528A429" w14:textId="77777777" w:rsidR="00904A8D" w:rsidRPr="00420DD5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14:paraId="432E99DA" w14:textId="77777777" w:rsidR="00DB5E20" w:rsidRPr="00420DD5" w:rsidRDefault="00904A8D">
      <w:pPr>
        <w:pStyle w:val="Header"/>
        <w:tabs>
          <w:tab w:val="clear" w:pos="4153"/>
          <w:tab w:val="clear" w:pos="8306"/>
        </w:tabs>
        <w:ind w:left="360"/>
        <w:rPr>
          <w:b/>
        </w:rPr>
      </w:pPr>
      <w:r w:rsidRPr="00420DD5">
        <w:rPr>
          <w:b/>
        </w:rPr>
        <w:t>That the Forum</w:t>
      </w:r>
      <w:r w:rsidR="00DB5E20" w:rsidRPr="00420DD5">
        <w:rPr>
          <w:b/>
        </w:rPr>
        <w:t>:</w:t>
      </w:r>
    </w:p>
    <w:p w14:paraId="6DD11BAE" w14:textId="77777777" w:rsidR="00DB5E20" w:rsidRPr="00420DD5" w:rsidRDefault="00DB5E20" w:rsidP="00DB5E20">
      <w:pPr>
        <w:pStyle w:val="Header"/>
        <w:tabs>
          <w:tab w:val="clear" w:pos="4153"/>
          <w:tab w:val="clear" w:pos="8306"/>
        </w:tabs>
        <w:rPr>
          <w:b/>
        </w:rPr>
      </w:pPr>
    </w:p>
    <w:p w14:paraId="0A1FDA1A" w14:textId="4FB0821F" w:rsidR="00AD3F1E" w:rsidRDefault="00AD3F1E" w:rsidP="00DB5E2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b/>
        </w:rPr>
      </w:pPr>
      <w:r w:rsidRPr="00420DD5">
        <w:rPr>
          <w:b/>
        </w:rPr>
        <w:t xml:space="preserve">Notes the </w:t>
      </w:r>
      <w:r w:rsidR="00BF20A7">
        <w:rPr>
          <w:b/>
        </w:rPr>
        <w:t>recent publication</w:t>
      </w:r>
    </w:p>
    <w:p w14:paraId="1995E9B8" w14:textId="01B426D2" w:rsidR="00904B01" w:rsidRPr="00420DD5" w:rsidRDefault="00C54632" w:rsidP="00DB5E2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b/>
        </w:rPr>
      </w:pPr>
      <w:r>
        <w:rPr>
          <w:b/>
        </w:rPr>
        <w:t>Comments on the recent publication</w:t>
      </w:r>
    </w:p>
    <w:p w14:paraId="02FEBC8A" w14:textId="77777777" w:rsidR="00420DD5" w:rsidRPr="00420DD5" w:rsidRDefault="00420DD5" w:rsidP="00420DD5">
      <w:pPr>
        <w:pStyle w:val="Header"/>
        <w:tabs>
          <w:tab w:val="clear" w:pos="4153"/>
          <w:tab w:val="clear" w:pos="8306"/>
        </w:tabs>
        <w:ind w:left="720"/>
        <w:rPr>
          <w:b/>
        </w:rPr>
      </w:pPr>
    </w:p>
    <w:p w14:paraId="18F6B12B" w14:textId="77777777" w:rsidR="00904A8D" w:rsidRPr="00420DD5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14:paraId="4AF78246" w14:textId="77777777" w:rsidR="00904A8D" w:rsidRPr="00420DD5" w:rsidRDefault="00904A8D">
      <w:pPr>
        <w:pStyle w:val="Header"/>
        <w:numPr>
          <w:ilvl w:val="0"/>
          <w:numId w:val="3"/>
        </w:numPr>
        <w:tabs>
          <w:tab w:val="clear" w:pos="360"/>
          <w:tab w:val="clear" w:pos="4153"/>
          <w:tab w:val="clear" w:pos="8306"/>
        </w:tabs>
        <w:ind w:left="720" w:hanging="720"/>
        <w:rPr>
          <w:b/>
          <w:sz w:val="28"/>
        </w:rPr>
      </w:pPr>
      <w:r w:rsidRPr="00420DD5">
        <w:rPr>
          <w:b/>
          <w:sz w:val="28"/>
        </w:rPr>
        <w:t>Purpose of report and executive summary</w:t>
      </w:r>
    </w:p>
    <w:p w14:paraId="144DA555" w14:textId="77777777" w:rsidR="00904A8D" w:rsidRPr="00C54632" w:rsidRDefault="00904A8D">
      <w:pPr>
        <w:pStyle w:val="Header"/>
        <w:tabs>
          <w:tab w:val="clear" w:pos="4153"/>
          <w:tab w:val="clear" w:pos="8306"/>
        </w:tabs>
        <w:rPr>
          <w:b/>
          <w:szCs w:val="24"/>
          <w:highlight w:val="yellow"/>
        </w:rPr>
      </w:pPr>
    </w:p>
    <w:p w14:paraId="7FA9DD2C" w14:textId="2B621561" w:rsidR="00C54632" w:rsidRPr="00C54632" w:rsidRDefault="00C54632" w:rsidP="00C54632">
      <w:pPr>
        <w:pStyle w:val="NoSpacing"/>
        <w:numPr>
          <w:ilvl w:val="1"/>
          <w:numId w:val="15"/>
        </w:numPr>
        <w:ind w:right="-46" w:hanging="712"/>
        <w:jc w:val="both"/>
        <w:rPr>
          <w:rFonts w:ascii="Arial" w:hAnsi="Arial" w:cs="Arial"/>
          <w:sz w:val="24"/>
          <w:szCs w:val="24"/>
        </w:rPr>
      </w:pPr>
      <w:r w:rsidRPr="00C54632">
        <w:rPr>
          <w:rFonts w:ascii="Arial" w:hAnsi="Arial" w:cs="Arial"/>
          <w:sz w:val="24"/>
          <w:szCs w:val="24"/>
        </w:rPr>
        <w:t xml:space="preserve">The Department for Education (DfE) published on 20 July </w:t>
      </w:r>
      <w:r w:rsidR="009A40A9" w:rsidRPr="00C54632">
        <w:rPr>
          <w:rFonts w:ascii="Arial" w:hAnsi="Arial" w:cs="Arial"/>
          <w:sz w:val="24"/>
          <w:szCs w:val="24"/>
        </w:rPr>
        <w:t>an</w:t>
      </w:r>
      <w:r w:rsidRPr="00C54632">
        <w:rPr>
          <w:rFonts w:ascii="Arial" w:hAnsi="Arial" w:cs="Arial"/>
          <w:sz w:val="24"/>
          <w:szCs w:val="24"/>
        </w:rPr>
        <w:t xml:space="preserve"> update on the policy paper of the National Funding Formula (NFF) 2022-23 and high needs</w:t>
      </w:r>
      <w:r w:rsidR="005847C2">
        <w:rPr>
          <w:rFonts w:ascii="Arial" w:hAnsi="Arial" w:cs="Arial"/>
          <w:sz w:val="24"/>
          <w:szCs w:val="24"/>
        </w:rPr>
        <w:t>, d</w:t>
      </w:r>
      <w:r w:rsidRPr="00C54632">
        <w:rPr>
          <w:rFonts w:ascii="Arial" w:hAnsi="Arial" w:cs="Arial"/>
          <w:sz w:val="24"/>
          <w:szCs w:val="24"/>
        </w:rPr>
        <w:t xml:space="preserve">etails can be found </w:t>
      </w:r>
      <w:hyperlink r:id="rId11" w:history="1">
        <w:r w:rsidRPr="00C54632">
          <w:rPr>
            <w:rStyle w:val="Hyperlink"/>
            <w:rFonts w:ascii="Arial" w:hAnsi="Arial" w:cs="Arial"/>
            <w:sz w:val="24"/>
            <w:szCs w:val="24"/>
          </w:rPr>
          <w:t>https://www.go</w:t>
        </w:r>
        <w:r w:rsidRPr="00C54632">
          <w:rPr>
            <w:rStyle w:val="Hyperlink"/>
            <w:rFonts w:ascii="Arial" w:hAnsi="Arial" w:cs="Arial"/>
            <w:sz w:val="24"/>
            <w:szCs w:val="24"/>
          </w:rPr>
          <w:t>v.uk/government/publications/national-funding-formula-for-schools-and-high-needs</w:t>
        </w:r>
      </w:hyperlink>
      <w:r w:rsidRPr="00C54632">
        <w:rPr>
          <w:rFonts w:ascii="Arial" w:hAnsi="Arial" w:cs="Arial"/>
          <w:sz w:val="24"/>
          <w:szCs w:val="24"/>
        </w:rPr>
        <w:t>.</w:t>
      </w:r>
    </w:p>
    <w:p w14:paraId="387EB642" w14:textId="77777777" w:rsidR="00C54632" w:rsidRPr="00C54632" w:rsidRDefault="00C54632" w:rsidP="0048394B">
      <w:pPr>
        <w:pStyle w:val="BodyTextIndent3"/>
        <w:ind w:hanging="720"/>
        <w:jc w:val="both"/>
        <w:rPr>
          <w:sz w:val="24"/>
          <w:szCs w:val="24"/>
        </w:rPr>
      </w:pPr>
    </w:p>
    <w:p w14:paraId="29547EF8" w14:textId="77777777" w:rsidR="00C54632" w:rsidRPr="00C54632" w:rsidRDefault="00C54632" w:rsidP="0048394B">
      <w:pPr>
        <w:pStyle w:val="BodyTextIndent3"/>
        <w:ind w:hanging="720"/>
        <w:jc w:val="both"/>
        <w:rPr>
          <w:sz w:val="24"/>
          <w:szCs w:val="24"/>
        </w:rPr>
      </w:pPr>
    </w:p>
    <w:p w14:paraId="5A97B514" w14:textId="708BE254" w:rsidR="00904A8D" w:rsidRPr="00420DD5" w:rsidRDefault="00C54632" w:rsidP="00CA1E66">
      <w:pPr>
        <w:pStyle w:val="Header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ind w:hanging="720"/>
        <w:jc w:val="both"/>
        <w:rPr>
          <w:b/>
          <w:sz w:val="28"/>
        </w:rPr>
      </w:pPr>
      <w:r>
        <w:rPr>
          <w:b/>
          <w:sz w:val="28"/>
        </w:rPr>
        <w:t xml:space="preserve">School Funding Proposals 2022-23 </w:t>
      </w:r>
      <w:r w:rsidR="00406709">
        <w:rPr>
          <w:b/>
          <w:sz w:val="28"/>
        </w:rPr>
        <w:t xml:space="preserve"> </w:t>
      </w:r>
    </w:p>
    <w:p w14:paraId="090AB7B4" w14:textId="77777777" w:rsidR="00D61E3B" w:rsidRPr="00420DD5" w:rsidRDefault="00D61E3B" w:rsidP="00CA1E66">
      <w:pPr>
        <w:pStyle w:val="Header"/>
        <w:tabs>
          <w:tab w:val="clear" w:pos="4153"/>
          <w:tab w:val="clear" w:pos="8306"/>
        </w:tabs>
        <w:jc w:val="both"/>
        <w:rPr>
          <w:b/>
          <w:sz w:val="28"/>
          <w:highlight w:val="yellow"/>
        </w:rPr>
      </w:pPr>
    </w:p>
    <w:p w14:paraId="0DE04F92" w14:textId="7ED0F3E0" w:rsidR="00C54632" w:rsidRDefault="00C54632" w:rsidP="00C54632">
      <w:pPr>
        <w:pStyle w:val="ListParagraph"/>
        <w:numPr>
          <w:ilvl w:val="1"/>
          <w:numId w:val="2"/>
        </w:numPr>
        <w:ind w:hanging="720"/>
        <w:jc w:val="both"/>
        <w:rPr>
          <w:rFonts w:ascii="Arial" w:hAnsi="Arial"/>
          <w:szCs w:val="20"/>
        </w:rPr>
      </w:pPr>
      <w:r w:rsidRPr="00C54632">
        <w:rPr>
          <w:rFonts w:ascii="Arial" w:hAnsi="Arial" w:cs="Arial"/>
        </w:rPr>
        <w:t>Proposals are s</w:t>
      </w:r>
      <w:r w:rsidRPr="00C54632">
        <w:rPr>
          <w:rFonts w:ascii="Arial" w:hAnsi="Arial" w:cs="Arial"/>
          <w:szCs w:val="20"/>
        </w:rPr>
        <w:t>chool funding is increasing</w:t>
      </w:r>
      <w:r w:rsidRPr="00C54632">
        <w:rPr>
          <w:rFonts w:ascii="Arial" w:hAnsi="Arial"/>
          <w:szCs w:val="20"/>
        </w:rPr>
        <w:t xml:space="preserve"> by 3.2% overall.  The funding is based upon the pupils and cohorts core factors increasing within the formula by 3%, but ensuring every school is allocated at least 2% more funding per pupil.</w:t>
      </w:r>
    </w:p>
    <w:p w14:paraId="0DFFC317" w14:textId="77777777" w:rsidR="00C54632" w:rsidRDefault="00C54632" w:rsidP="00C54632">
      <w:pPr>
        <w:pStyle w:val="ListParagraph"/>
        <w:rPr>
          <w:rFonts w:ascii="Arial" w:hAnsi="Arial"/>
          <w:szCs w:val="20"/>
        </w:rPr>
      </w:pPr>
    </w:p>
    <w:p w14:paraId="43127315" w14:textId="74429DD4" w:rsidR="00C54632" w:rsidRPr="00C54632" w:rsidRDefault="009A40A9" w:rsidP="00C54632">
      <w:pPr>
        <w:pStyle w:val="ListParagraph"/>
        <w:numPr>
          <w:ilvl w:val="1"/>
          <w:numId w:val="2"/>
        </w:numPr>
        <w:ind w:hanging="7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Increase in S</w:t>
      </w:r>
      <w:r w:rsidR="00C54632" w:rsidRPr="00C54632">
        <w:rPr>
          <w:rFonts w:ascii="Arial" w:hAnsi="Arial"/>
          <w:szCs w:val="20"/>
        </w:rPr>
        <w:t>parsity factor in support of small schools a</w:t>
      </w:r>
      <w:r>
        <w:rPr>
          <w:rFonts w:ascii="Arial" w:hAnsi="Arial"/>
          <w:szCs w:val="20"/>
        </w:rPr>
        <w:t xml:space="preserve">nd remote schools </w:t>
      </w:r>
      <w:r w:rsidR="00C54632" w:rsidRPr="00C54632">
        <w:rPr>
          <w:rFonts w:ascii="Arial" w:hAnsi="Arial"/>
          <w:szCs w:val="20"/>
        </w:rPr>
        <w:t xml:space="preserve">to £55,000 for primary and £80,000 for all other schools.  The calculation or accuracy of this is to identify schools’ remoteness by using road distances instead of straight-line distances and using a new distance “taper”.  </w:t>
      </w:r>
    </w:p>
    <w:p w14:paraId="154CADAC" w14:textId="77777777" w:rsidR="00C54632" w:rsidRPr="00C54632" w:rsidRDefault="00C54632" w:rsidP="00C54632">
      <w:pPr>
        <w:pStyle w:val="ListParagraph"/>
        <w:rPr>
          <w:rFonts w:ascii="Arial" w:hAnsi="Arial"/>
          <w:szCs w:val="20"/>
        </w:rPr>
      </w:pPr>
    </w:p>
    <w:p w14:paraId="1FC754BA" w14:textId="77777777" w:rsidR="00C54632" w:rsidRPr="00C54632" w:rsidRDefault="00C54632" w:rsidP="00C54632">
      <w:pPr>
        <w:pStyle w:val="ListParagraph"/>
        <w:numPr>
          <w:ilvl w:val="1"/>
          <w:numId w:val="2"/>
        </w:numPr>
        <w:ind w:hanging="720"/>
        <w:jc w:val="both"/>
        <w:rPr>
          <w:rFonts w:ascii="Arial" w:hAnsi="Arial" w:cs="Arial"/>
          <w:szCs w:val="20"/>
        </w:rPr>
      </w:pPr>
      <w:r w:rsidRPr="00C54632">
        <w:rPr>
          <w:rFonts w:ascii="Arial" w:hAnsi="Arial" w:cs="Arial"/>
          <w:szCs w:val="20"/>
        </w:rPr>
        <w:t>Decreasing the funding lag for Free School Meals - Ever 6 (FSM6) deprivation funding factor by 9 months, from using the previous year’s January census to the October census.</w:t>
      </w:r>
    </w:p>
    <w:p w14:paraId="48119E18" w14:textId="77777777" w:rsidR="00C54632" w:rsidRPr="00C54632" w:rsidRDefault="00C54632" w:rsidP="00C54632">
      <w:pPr>
        <w:pStyle w:val="Header"/>
        <w:tabs>
          <w:tab w:val="clear" w:pos="4153"/>
          <w:tab w:val="clear" w:pos="8306"/>
        </w:tabs>
        <w:ind w:left="720"/>
        <w:jc w:val="both"/>
        <w:rPr>
          <w:rFonts w:cs="Arial"/>
        </w:rPr>
      </w:pPr>
    </w:p>
    <w:p w14:paraId="26B55739" w14:textId="446F0112" w:rsidR="00C54632" w:rsidRPr="00C54632" w:rsidRDefault="00C54632" w:rsidP="00C54632">
      <w:pPr>
        <w:ind w:left="720" w:hanging="720"/>
        <w:jc w:val="both"/>
        <w:rPr>
          <w:rFonts w:ascii="Arial" w:hAnsi="Arial" w:cs="Arial"/>
          <w:szCs w:val="20"/>
        </w:rPr>
      </w:pPr>
      <w:r w:rsidRPr="00C54632">
        <w:rPr>
          <w:rFonts w:ascii="Arial" w:hAnsi="Arial" w:cs="Arial"/>
        </w:rPr>
        <w:t>2.4</w:t>
      </w:r>
      <w:r w:rsidRPr="00C54632">
        <w:rPr>
          <w:rFonts w:ascii="Arial" w:hAnsi="Arial" w:cs="Arial"/>
        </w:rPr>
        <w:tab/>
      </w:r>
      <w:r w:rsidRPr="00C54632">
        <w:rPr>
          <w:rFonts w:ascii="Arial" w:hAnsi="Arial" w:cs="Arial"/>
          <w:szCs w:val="20"/>
        </w:rPr>
        <w:t>Centralising the business rates payment system for schools, so that E</w:t>
      </w:r>
      <w:r>
        <w:rPr>
          <w:rFonts w:ascii="Arial" w:hAnsi="Arial" w:cs="Arial"/>
          <w:szCs w:val="20"/>
        </w:rPr>
        <w:t xml:space="preserve">ducation </w:t>
      </w:r>
      <w:r w:rsidRPr="00C54632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kills </w:t>
      </w:r>
      <w:r w:rsidRPr="00C54632">
        <w:rPr>
          <w:rFonts w:ascii="Arial" w:hAnsi="Arial" w:cs="Arial"/>
          <w:szCs w:val="20"/>
        </w:rPr>
        <w:t>F</w:t>
      </w:r>
      <w:r>
        <w:rPr>
          <w:rFonts w:ascii="Arial" w:hAnsi="Arial" w:cs="Arial"/>
          <w:szCs w:val="20"/>
        </w:rPr>
        <w:t xml:space="preserve">unding </w:t>
      </w:r>
      <w:r w:rsidRPr="00C54632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gency (ESFA)</w:t>
      </w:r>
      <w:r w:rsidRPr="00C54632">
        <w:rPr>
          <w:rFonts w:ascii="Arial" w:hAnsi="Arial" w:cs="Arial"/>
          <w:szCs w:val="20"/>
        </w:rPr>
        <w:t xml:space="preserve"> will pay billing authorities directly on behalf of state funded schools.</w:t>
      </w:r>
      <w:r>
        <w:rPr>
          <w:rFonts w:ascii="Arial" w:hAnsi="Arial" w:cs="Arial"/>
          <w:szCs w:val="20"/>
        </w:rPr>
        <w:t xml:space="preserve">  Schools will still be advised of the estimated rates charge via their school budget share </w:t>
      </w:r>
      <w:r w:rsidR="009A40A9">
        <w:rPr>
          <w:rFonts w:ascii="Arial" w:hAnsi="Arial" w:cs="Arial"/>
          <w:szCs w:val="20"/>
        </w:rPr>
        <w:t xml:space="preserve">2022-23 </w:t>
      </w:r>
      <w:r>
        <w:rPr>
          <w:rFonts w:ascii="Arial" w:hAnsi="Arial" w:cs="Arial"/>
          <w:szCs w:val="20"/>
        </w:rPr>
        <w:t>as in previous years.</w:t>
      </w:r>
    </w:p>
    <w:p w14:paraId="0AAC33B3" w14:textId="77777777" w:rsidR="00C54632" w:rsidRPr="00C54632" w:rsidRDefault="00C54632" w:rsidP="00C54632">
      <w:pPr>
        <w:pStyle w:val="ListParagraph"/>
        <w:rPr>
          <w:rFonts w:ascii="Arial" w:hAnsi="Arial"/>
          <w:szCs w:val="20"/>
        </w:rPr>
      </w:pPr>
    </w:p>
    <w:p w14:paraId="23AF20E1" w14:textId="0279C7F1" w:rsidR="00DE37CE" w:rsidRPr="00DE37CE" w:rsidRDefault="00C54632" w:rsidP="00C54632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720"/>
        <w:jc w:val="both"/>
      </w:pPr>
      <w:r>
        <w:rPr>
          <w:rFonts w:cs="Arial"/>
          <w:b/>
          <w:bCs/>
          <w:sz w:val="28"/>
        </w:rPr>
        <w:t>Notional school budgets 2022-23</w:t>
      </w:r>
    </w:p>
    <w:p w14:paraId="04294EFE" w14:textId="77777777" w:rsidR="00DE37CE" w:rsidRPr="00DE37CE" w:rsidRDefault="00DE37CE" w:rsidP="00DE37CE">
      <w:pPr>
        <w:pStyle w:val="Header"/>
        <w:tabs>
          <w:tab w:val="clear" w:pos="4153"/>
          <w:tab w:val="clear" w:pos="8306"/>
        </w:tabs>
        <w:ind w:left="720"/>
        <w:jc w:val="both"/>
      </w:pPr>
    </w:p>
    <w:p w14:paraId="1FC213FC" w14:textId="3AE819FA" w:rsidR="00C54632" w:rsidRPr="00C54632" w:rsidRDefault="00C54632" w:rsidP="00C54632">
      <w:pPr>
        <w:pStyle w:val="NoSpacing"/>
        <w:ind w:left="709" w:right="-46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3.1</w:t>
      </w:r>
      <w:r>
        <w:rPr>
          <w:rFonts w:ascii="Arial" w:hAnsi="Arial"/>
          <w:sz w:val="24"/>
          <w:szCs w:val="24"/>
        </w:rPr>
        <w:tab/>
      </w:r>
      <w:r w:rsidRPr="00C54632">
        <w:rPr>
          <w:rFonts w:ascii="Arial" w:hAnsi="Arial"/>
          <w:sz w:val="24"/>
          <w:szCs w:val="24"/>
        </w:rPr>
        <w:t xml:space="preserve">In </w:t>
      </w:r>
      <w:r w:rsidRPr="00C54632">
        <w:rPr>
          <w:rFonts w:ascii="Arial" w:hAnsi="Arial" w:cs="Arial"/>
          <w:sz w:val="24"/>
          <w:szCs w:val="24"/>
        </w:rPr>
        <w:t xml:space="preserve">support of the </w:t>
      </w:r>
      <w:r>
        <w:rPr>
          <w:rFonts w:ascii="Arial" w:hAnsi="Arial" w:cs="Arial"/>
          <w:sz w:val="24"/>
          <w:szCs w:val="24"/>
        </w:rPr>
        <w:t xml:space="preserve">government </w:t>
      </w:r>
      <w:r w:rsidRPr="00C54632">
        <w:rPr>
          <w:rFonts w:ascii="Arial" w:hAnsi="Arial" w:cs="Arial"/>
          <w:sz w:val="24"/>
          <w:szCs w:val="24"/>
        </w:rPr>
        <w:t xml:space="preserve">policy proposals, notional school budget allocations calculated by the ESFA have been published </w:t>
      </w:r>
      <w:r w:rsidRPr="00C54632">
        <w:rPr>
          <w:rFonts w:ascii="Arial" w:hAnsi="Arial" w:cs="Arial"/>
          <w:b/>
          <w:i/>
          <w:sz w:val="24"/>
          <w:szCs w:val="24"/>
        </w:rPr>
        <w:t>(for information)</w:t>
      </w:r>
      <w:r>
        <w:rPr>
          <w:rFonts w:ascii="Arial" w:hAnsi="Arial" w:cs="Arial"/>
          <w:sz w:val="24"/>
          <w:szCs w:val="24"/>
        </w:rPr>
        <w:t xml:space="preserve"> </w:t>
      </w:r>
      <w:r w:rsidRPr="00C54632">
        <w:rPr>
          <w:rFonts w:ascii="Arial" w:hAnsi="Arial" w:cs="Arial"/>
          <w:sz w:val="24"/>
          <w:szCs w:val="24"/>
        </w:rPr>
        <w:t xml:space="preserve">and </w:t>
      </w:r>
      <w:r w:rsidRPr="00C54632">
        <w:rPr>
          <w:rFonts w:ascii="Arial" w:hAnsi="Arial" w:cs="Arial"/>
          <w:sz w:val="24"/>
          <w:szCs w:val="24"/>
        </w:rPr>
        <w:lastRenderedPageBreak/>
        <w:t>attached as Annex 1 to demonstrate the NFF and additional funding of 2% for 2022-23.</w:t>
      </w:r>
    </w:p>
    <w:p w14:paraId="738562ED" w14:textId="77777777" w:rsidR="00C54632" w:rsidRDefault="00C54632" w:rsidP="00C54632">
      <w:pPr>
        <w:pStyle w:val="NoSpacing"/>
        <w:ind w:left="567" w:right="-46"/>
        <w:jc w:val="both"/>
        <w:rPr>
          <w:rFonts w:ascii="Arial" w:hAnsi="Arial" w:cs="Arial"/>
        </w:rPr>
      </w:pPr>
    </w:p>
    <w:p w14:paraId="5F312561" w14:textId="5C2825FE" w:rsidR="00C54632" w:rsidRPr="00C54632" w:rsidRDefault="00C54632" w:rsidP="00C54632">
      <w:pPr>
        <w:pStyle w:val="NoSpacing"/>
        <w:ind w:left="567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 w:rsidRPr="00C54632">
        <w:rPr>
          <w:rFonts w:ascii="Arial" w:hAnsi="Arial" w:cs="Arial"/>
          <w:sz w:val="24"/>
          <w:szCs w:val="24"/>
        </w:rPr>
        <w:t>London Borough of Merton (LBM) School Funding Formulae is a locally agreed formula working in collaboration with the Council and School Forum in accordance with the DfE statutory guidelines of implementation of the NFF or hard formula within the timescales.</w:t>
      </w:r>
    </w:p>
    <w:p w14:paraId="7B73E575" w14:textId="77777777" w:rsidR="00C54632" w:rsidRPr="00C54632" w:rsidRDefault="00C54632" w:rsidP="00C54632">
      <w:pPr>
        <w:pStyle w:val="NoSpacing"/>
        <w:ind w:left="567" w:right="-46"/>
        <w:jc w:val="both"/>
        <w:rPr>
          <w:rFonts w:ascii="Arial" w:hAnsi="Arial" w:cs="Arial"/>
          <w:sz w:val="24"/>
          <w:szCs w:val="24"/>
        </w:rPr>
      </w:pPr>
    </w:p>
    <w:p w14:paraId="2836B6F0" w14:textId="47C43CD6" w:rsidR="00C54632" w:rsidRPr="00C54632" w:rsidRDefault="00C54632" w:rsidP="00C54632">
      <w:pPr>
        <w:pStyle w:val="NoSpacing"/>
        <w:ind w:left="567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  <w:t>I</w:t>
      </w:r>
      <w:r w:rsidRPr="00C54632">
        <w:rPr>
          <w:rFonts w:ascii="Arial" w:hAnsi="Arial" w:cs="Arial"/>
          <w:sz w:val="24"/>
          <w:szCs w:val="24"/>
        </w:rPr>
        <w:t xml:space="preserve">t should be noted that LBM local formula factors and funding rates do not mirror the NFF </w:t>
      </w:r>
      <w:r w:rsidR="005847C2">
        <w:rPr>
          <w:rFonts w:ascii="Arial" w:hAnsi="Arial" w:cs="Arial"/>
          <w:sz w:val="24"/>
          <w:szCs w:val="24"/>
        </w:rPr>
        <w:t xml:space="preserve">exactly </w:t>
      </w:r>
      <w:r w:rsidRPr="00C54632">
        <w:rPr>
          <w:rFonts w:ascii="Arial" w:hAnsi="Arial" w:cs="Arial"/>
          <w:sz w:val="24"/>
          <w:szCs w:val="24"/>
        </w:rPr>
        <w:t xml:space="preserve">due to agreement of a transitional alignment </w:t>
      </w:r>
      <w:r>
        <w:rPr>
          <w:rFonts w:ascii="Arial" w:hAnsi="Arial" w:cs="Arial"/>
          <w:sz w:val="24"/>
          <w:szCs w:val="24"/>
        </w:rPr>
        <w:t xml:space="preserve">to the factors to enable as little turbulence to school budgets </w:t>
      </w:r>
      <w:r w:rsidRPr="00C54632">
        <w:rPr>
          <w:rFonts w:ascii="Arial" w:hAnsi="Arial" w:cs="Arial"/>
          <w:sz w:val="24"/>
          <w:szCs w:val="24"/>
        </w:rPr>
        <w:t>apart from:</w:t>
      </w:r>
    </w:p>
    <w:p w14:paraId="5614CB5C" w14:textId="77777777" w:rsidR="00C54632" w:rsidRPr="00C54632" w:rsidRDefault="00C54632" w:rsidP="00C54632">
      <w:pPr>
        <w:pStyle w:val="NoSpacing"/>
        <w:ind w:left="567" w:right="-46"/>
        <w:jc w:val="both"/>
        <w:rPr>
          <w:rFonts w:ascii="Arial" w:hAnsi="Arial" w:cs="Arial"/>
          <w:sz w:val="24"/>
          <w:szCs w:val="24"/>
        </w:rPr>
      </w:pPr>
    </w:p>
    <w:p w14:paraId="76CA6EC5" w14:textId="498E8B4D" w:rsidR="00C54632" w:rsidRPr="00C54632" w:rsidRDefault="00C54632" w:rsidP="00C54632">
      <w:pPr>
        <w:pStyle w:val="NoSpacing"/>
        <w:numPr>
          <w:ilvl w:val="0"/>
          <w:numId w:val="18"/>
        </w:numPr>
        <w:ind w:right="-46"/>
        <w:jc w:val="both"/>
        <w:rPr>
          <w:rFonts w:ascii="Arial" w:hAnsi="Arial" w:cs="Arial"/>
          <w:sz w:val="24"/>
          <w:szCs w:val="24"/>
        </w:rPr>
      </w:pPr>
      <w:r w:rsidRPr="00C54632">
        <w:rPr>
          <w:rFonts w:ascii="Arial" w:hAnsi="Arial" w:cs="Arial"/>
          <w:sz w:val="24"/>
          <w:szCs w:val="24"/>
        </w:rPr>
        <w:t xml:space="preserve">Growth </w:t>
      </w:r>
      <w:r w:rsidRPr="005847C2">
        <w:rPr>
          <w:rFonts w:ascii="Arial" w:hAnsi="Arial" w:cs="Arial"/>
          <w:sz w:val="24"/>
          <w:szCs w:val="24"/>
        </w:rPr>
        <w:t>fund £640k –</w:t>
      </w:r>
      <w:r w:rsidRPr="00C54632">
        <w:rPr>
          <w:rFonts w:ascii="Arial" w:hAnsi="Arial" w:cs="Arial"/>
          <w:sz w:val="24"/>
          <w:szCs w:val="24"/>
        </w:rPr>
        <w:t xml:space="preserve"> School Forum approval in January 2021</w:t>
      </w:r>
    </w:p>
    <w:p w14:paraId="4F08806A" w14:textId="20B930F5" w:rsidR="00C54632" w:rsidRPr="00C54632" w:rsidRDefault="00C54632" w:rsidP="00C54632">
      <w:pPr>
        <w:pStyle w:val="NoSpacing"/>
        <w:numPr>
          <w:ilvl w:val="0"/>
          <w:numId w:val="18"/>
        </w:numPr>
        <w:ind w:right="-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Needs block transfer £656k – School Forum approval in January 2021</w:t>
      </w:r>
    </w:p>
    <w:p w14:paraId="14333E4C" w14:textId="77777777" w:rsidR="00C54632" w:rsidRPr="00C54632" w:rsidRDefault="00C54632" w:rsidP="00C54632">
      <w:pPr>
        <w:pStyle w:val="NoSpacing"/>
        <w:ind w:left="567" w:right="-46"/>
        <w:jc w:val="both"/>
        <w:rPr>
          <w:rFonts w:ascii="Arial" w:hAnsi="Arial" w:cs="Arial"/>
          <w:sz w:val="24"/>
          <w:szCs w:val="24"/>
        </w:rPr>
      </w:pPr>
    </w:p>
    <w:p w14:paraId="0CE9B0A5" w14:textId="29F531C2" w:rsidR="00C54632" w:rsidRPr="00C54632" w:rsidRDefault="005847C2" w:rsidP="005847C2">
      <w:pPr>
        <w:pStyle w:val="NoSpacing"/>
        <w:ind w:left="567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>
        <w:rPr>
          <w:rFonts w:ascii="Arial" w:hAnsi="Arial" w:cs="Arial"/>
          <w:sz w:val="24"/>
          <w:szCs w:val="24"/>
        </w:rPr>
        <w:tab/>
        <w:t>Both growth and high needs block transfer</w:t>
      </w:r>
      <w:r w:rsidR="00C54632" w:rsidRPr="00C54632">
        <w:rPr>
          <w:rFonts w:ascii="Arial" w:hAnsi="Arial" w:cs="Arial"/>
          <w:sz w:val="24"/>
          <w:szCs w:val="24"/>
        </w:rPr>
        <w:t xml:space="preserve"> have </w:t>
      </w:r>
      <w:r w:rsidR="00C54632" w:rsidRPr="005847C2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="00C54632" w:rsidRPr="00C54632">
        <w:rPr>
          <w:rFonts w:ascii="Arial" w:hAnsi="Arial" w:cs="Arial"/>
          <w:sz w:val="24"/>
          <w:szCs w:val="24"/>
        </w:rPr>
        <w:t xml:space="preserve"> been included within the published </w:t>
      </w:r>
      <w:r w:rsidR="009A40A9">
        <w:rPr>
          <w:rFonts w:ascii="Arial" w:hAnsi="Arial" w:cs="Arial"/>
          <w:sz w:val="24"/>
          <w:szCs w:val="24"/>
        </w:rPr>
        <w:t xml:space="preserve">ESFA </w:t>
      </w:r>
      <w:r w:rsidR="00C54632" w:rsidRPr="00C54632">
        <w:rPr>
          <w:rFonts w:ascii="Arial" w:hAnsi="Arial" w:cs="Arial"/>
          <w:sz w:val="24"/>
          <w:szCs w:val="24"/>
        </w:rPr>
        <w:t xml:space="preserve">notional school budget allocations in Annex 1, plus </w:t>
      </w:r>
      <w:r>
        <w:rPr>
          <w:rFonts w:ascii="Arial" w:hAnsi="Arial" w:cs="Arial"/>
          <w:sz w:val="24"/>
          <w:szCs w:val="24"/>
        </w:rPr>
        <w:t>census</w:t>
      </w:r>
      <w:r w:rsidR="00C54632" w:rsidRPr="00C54632">
        <w:rPr>
          <w:rFonts w:ascii="Arial" w:hAnsi="Arial" w:cs="Arial"/>
          <w:sz w:val="24"/>
          <w:szCs w:val="24"/>
        </w:rPr>
        <w:t xml:space="preserve"> changes f</w:t>
      </w:r>
      <w:r>
        <w:rPr>
          <w:rFonts w:ascii="Arial" w:hAnsi="Arial" w:cs="Arial"/>
          <w:sz w:val="24"/>
          <w:szCs w:val="24"/>
        </w:rPr>
        <w:t>rom</w:t>
      </w:r>
      <w:r w:rsidR="00C54632" w:rsidRPr="00C54632">
        <w:rPr>
          <w:rFonts w:ascii="Arial" w:hAnsi="Arial" w:cs="Arial"/>
          <w:sz w:val="24"/>
          <w:szCs w:val="24"/>
        </w:rPr>
        <w:t xml:space="preserve"> the</w:t>
      </w:r>
      <w:r w:rsidR="00C54632" w:rsidRPr="00C54632">
        <w:rPr>
          <w:rFonts w:ascii="Arial" w:hAnsi="Arial" w:cs="Arial"/>
          <w:b/>
          <w:bCs/>
          <w:sz w:val="24"/>
          <w:szCs w:val="24"/>
        </w:rPr>
        <w:t xml:space="preserve"> </w:t>
      </w:r>
      <w:r w:rsidR="00C54632" w:rsidRPr="00C54632">
        <w:rPr>
          <w:rFonts w:ascii="Arial" w:hAnsi="Arial" w:cs="Arial"/>
          <w:sz w:val="24"/>
          <w:szCs w:val="24"/>
        </w:rPr>
        <w:t>autumn census 2021.</w:t>
      </w:r>
    </w:p>
    <w:p w14:paraId="7C2A64E8" w14:textId="77777777" w:rsidR="00C54632" w:rsidRPr="00C54632" w:rsidRDefault="00C54632" w:rsidP="00C54632">
      <w:pPr>
        <w:pStyle w:val="NoSpacing"/>
        <w:ind w:left="567" w:right="-46"/>
        <w:jc w:val="both"/>
        <w:rPr>
          <w:rFonts w:ascii="Arial" w:hAnsi="Arial" w:cs="Arial"/>
          <w:sz w:val="24"/>
          <w:szCs w:val="24"/>
        </w:rPr>
      </w:pPr>
    </w:p>
    <w:p w14:paraId="016E169D" w14:textId="19A2AB02" w:rsidR="00C54632" w:rsidRPr="00C54632" w:rsidRDefault="005847C2" w:rsidP="005847C2">
      <w:pPr>
        <w:pStyle w:val="NoSpacing"/>
        <w:ind w:left="567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  <w:r>
        <w:rPr>
          <w:rFonts w:ascii="Arial" w:hAnsi="Arial" w:cs="Arial"/>
          <w:sz w:val="24"/>
          <w:szCs w:val="24"/>
        </w:rPr>
        <w:tab/>
        <w:t>It</w:t>
      </w:r>
      <w:r w:rsidR="00C54632" w:rsidRPr="00C54632">
        <w:rPr>
          <w:rFonts w:ascii="Arial" w:hAnsi="Arial" w:cs="Arial"/>
          <w:sz w:val="24"/>
          <w:szCs w:val="24"/>
        </w:rPr>
        <w:t xml:space="preserve"> should also be noted that the published allocation of school notional budges 2022-23 is for </w:t>
      </w:r>
      <w:r w:rsidR="00C54632" w:rsidRPr="00C54632">
        <w:rPr>
          <w:rFonts w:ascii="Arial" w:hAnsi="Arial" w:cs="Arial"/>
          <w:b/>
          <w:bCs/>
          <w:sz w:val="24"/>
          <w:szCs w:val="24"/>
        </w:rPr>
        <w:t>illustrative purposes</w:t>
      </w:r>
      <w:r w:rsidR="00C54632" w:rsidRPr="00C54632">
        <w:rPr>
          <w:rFonts w:ascii="Arial" w:hAnsi="Arial" w:cs="Arial"/>
          <w:sz w:val="24"/>
          <w:szCs w:val="24"/>
        </w:rPr>
        <w:t xml:space="preserve"> and not final school budgets 2022-23.  The local authority will be calculating school budgets 2022-23 upon publication of the </w:t>
      </w:r>
      <w:r>
        <w:rPr>
          <w:rFonts w:ascii="Arial" w:hAnsi="Arial" w:cs="Arial"/>
          <w:sz w:val="24"/>
          <w:szCs w:val="24"/>
        </w:rPr>
        <w:t xml:space="preserve">ESFA </w:t>
      </w:r>
      <w:r w:rsidR="00C54632" w:rsidRPr="00C54632">
        <w:rPr>
          <w:rFonts w:ascii="Arial" w:hAnsi="Arial" w:cs="Arial"/>
          <w:sz w:val="24"/>
          <w:szCs w:val="24"/>
        </w:rPr>
        <w:t xml:space="preserve">Authority Proforma Tool (APT) and Dedicated Schools Grant (DSG) funding as in previous years.  School Forum will be approving the school </w:t>
      </w:r>
      <w:r w:rsidR="009A40A9">
        <w:rPr>
          <w:rFonts w:ascii="Arial" w:hAnsi="Arial" w:cs="Arial"/>
          <w:sz w:val="24"/>
          <w:szCs w:val="24"/>
        </w:rPr>
        <w:t>budgets and APT in January 2022, and distributing school budget notifications by 28 February.</w:t>
      </w:r>
    </w:p>
    <w:p w14:paraId="77664219" w14:textId="77777777" w:rsidR="00C54632" w:rsidRPr="00C54632" w:rsidRDefault="00C54632" w:rsidP="00C54632">
      <w:pPr>
        <w:pStyle w:val="NoSpacing"/>
        <w:ind w:left="567" w:right="-46" w:hanging="567"/>
        <w:jc w:val="both"/>
        <w:rPr>
          <w:rFonts w:ascii="Arial" w:hAnsi="Arial" w:cs="Arial"/>
          <w:sz w:val="24"/>
          <w:szCs w:val="24"/>
        </w:rPr>
      </w:pPr>
    </w:p>
    <w:p w14:paraId="2A543475" w14:textId="1289E83F" w:rsidR="004E42C3" w:rsidRPr="00C54632" w:rsidRDefault="005847C2" w:rsidP="005847C2">
      <w:pPr>
        <w:ind w:left="567" w:hanging="567"/>
        <w:rPr>
          <w:rFonts w:ascii="Arial" w:hAnsi="Arial"/>
        </w:rPr>
      </w:pPr>
      <w:r>
        <w:rPr>
          <w:rFonts w:ascii="Arial" w:hAnsi="Arial" w:cs="Arial"/>
        </w:rPr>
        <w:t>3.6</w:t>
      </w:r>
      <w:r>
        <w:rPr>
          <w:rFonts w:ascii="Arial" w:hAnsi="Arial" w:cs="Arial"/>
        </w:rPr>
        <w:tab/>
      </w:r>
      <w:r w:rsidR="00C54632" w:rsidRPr="00C54632">
        <w:rPr>
          <w:rFonts w:ascii="Arial" w:hAnsi="Arial" w:cs="Arial"/>
        </w:rPr>
        <w:t xml:space="preserve">For transparency and reporting to School Forum, a comparison of funding factor rates and </w:t>
      </w:r>
      <w:r w:rsidR="001B290E">
        <w:rPr>
          <w:rFonts w:ascii="Arial" w:hAnsi="Arial" w:cs="Arial"/>
        </w:rPr>
        <w:t xml:space="preserve">proposed </w:t>
      </w:r>
      <w:r w:rsidR="00C54632" w:rsidRPr="00C54632">
        <w:rPr>
          <w:rFonts w:ascii="Arial" w:hAnsi="Arial" w:cs="Arial"/>
        </w:rPr>
        <w:t xml:space="preserve">NFF rates is detailed as below and </w:t>
      </w:r>
      <w:r w:rsidR="001B290E">
        <w:rPr>
          <w:rFonts w:ascii="Arial" w:hAnsi="Arial" w:cs="Arial"/>
        </w:rPr>
        <w:t xml:space="preserve">LBM </w:t>
      </w:r>
      <w:r w:rsidR="00C54632" w:rsidRPr="00C54632">
        <w:rPr>
          <w:rFonts w:ascii="Arial" w:hAnsi="Arial" w:cs="Arial"/>
        </w:rPr>
        <w:t>2021-22 rates was</w:t>
      </w:r>
      <w:bookmarkStart w:id="0" w:name="_GoBack"/>
      <w:bookmarkEnd w:id="0"/>
      <w:r w:rsidR="00C54632" w:rsidRPr="00C54632">
        <w:rPr>
          <w:rFonts w:ascii="Arial" w:hAnsi="Arial" w:cs="Arial"/>
        </w:rPr>
        <w:t xml:space="preserve"> reported in January 2021, as part of the School Forum approval of</w:t>
      </w:r>
      <w:r w:rsidR="001B290E">
        <w:rPr>
          <w:rFonts w:ascii="Arial" w:hAnsi="Arial" w:cs="Arial"/>
        </w:rPr>
        <w:t xml:space="preserve"> the APT.</w:t>
      </w:r>
    </w:p>
    <w:p w14:paraId="2DC1FA50" w14:textId="5225C18C" w:rsidR="00242B8A" w:rsidRPr="00242B8A" w:rsidRDefault="00242B8A" w:rsidP="00242B8A">
      <w:pPr>
        <w:rPr>
          <w:rFonts w:ascii="Arial" w:hAnsi="Arial"/>
          <w:b/>
          <w:szCs w:val="20"/>
        </w:rPr>
      </w:pPr>
      <w:r w:rsidRPr="00242B8A">
        <w:rPr>
          <w:rFonts w:ascii="Arial" w:hAnsi="Arial"/>
          <w:b/>
          <w:szCs w:val="20"/>
        </w:rPr>
        <w:t xml:space="preserve"> </w:t>
      </w:r>
    </w:p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2976"/>
        <w:gridCol w:w="1295"/>
        <w:gridCol w:w="960"/>
        <w:gridCol w:w="960"/>
        <w:gridCol w:w="1321"/>
        <w:gridCol w:w="1134"/>
      </w:tblGrid>
      <w:tr w:rsidR="001B290E" w14:paraId="103A90F9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24EE8" w14:textId="77777777" w:rsidR="001B290E" w:rsidRDefault="001B290E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A06B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LBM Funding rates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EAFFAF0" w14:textId="77777777" w:rsidR="001B290E" w:rsidRDefault="001B2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 F F </w:t>
            </w:r>
          </w:p>
        </w:tc>
      </w:tr>
      <w:tr w:rsidR="00C169F2" w14:paraId="3FCCEB83" w14:textId="77777777" w:rsidTr="00C169F2">
        <w:trPr>
          <w:trHeight w:val="690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8546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NFF Funding Factors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08B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2021-22 LBM 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D61E0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Diff +/- from NFF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(2021-22)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0787C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Range        0%-20%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DB0A0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2021-22 NFF rates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1CBEB4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Proposed 2022-23 NFF rates</w:t>
            </w:r>
          </w:p>
        </w:tc>
      </w:tr>
      <w:tr w:rsidR="00C169F2" w14:paraId="6838057B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3DE8D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D9884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1033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5AAE7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1A29C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C254B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</w:p>
        </w:tc>
      </w:tr>
      <w:tr w:rsidR="001B290E" w14:paraId="7B33C3AF" w14:textId="77777777" w:rsidTr="00C169F2">
        <w:trPr>
          <w:trHeight w:val="281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3F94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AWPU-primary (R-Y6) per pupil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DDA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£3,386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C45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A07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6FB58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£3,123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94A967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£3,217</w:t>
            </w:r>
          </w:p>
        </w:tc>
      </w:tr>
      <w:tr w:rsidR="001B290E" w14:paraId="283B53BA" w14:textId="77777777" w:rsidTr="00C169F2">
        <w:trPr>
          <w:trHeight w:val="256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06BD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AWPU-secondary (KS3) per pupil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455F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£4,796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16A4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7634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34A6FE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F75317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£4,536</w:t>
            </w:r>
          </w:p>
        </w:tc>
      </w:tr>
      <w:tr w:rsidR="001B290E" w14:paraId="62EBC4D8" w14:textId="77777777" w:rsidTr="00C169F2">
        <w:trPr>
          <w:trHeight w:val="27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CD28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AWPU-secondary (KS4) per pupil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2F0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F669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218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348DA9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2B8721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£5,112</w:t>
            </w:r>
          </w:p>
        </w:tc>
      </w:tr>
      <w:tr w:rsidR="001B290E" w14:paraId="2C288525" w14:textId="77777777" w:rsidTr="00C169F2">
        <w:trPr>
          <w:trHeight w:val="264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73BB" w14:textId="77777777" w:rsidR="001B290E" w:rsidRDefault="001B29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FSM (primary/secondary)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779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DD1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153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AECDC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19FDC1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£470</w:t>
            </w:r>
          </w:p>
        </w:tc>
      </w:tr>
      <w:tr w:rsidR="001B290E" w14:paraId="6DF7F2A0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A07A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FSM6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3F7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753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E027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7906E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0B3B89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£590</w:t>
            </w:r>
          </w:p>
        </w:tc>
      </w:tr>
      <w:tr w:rsidR="001B290E" w14:paraId="03EC1C6E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C7B4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FSM6 (secondary)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2DAA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B477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0DA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4A748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6507E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£865</w:t>
            </w:r>
          </w:p>
        </w:tc>
      </w:tr>
      <w:tr w:rsidR="001B290E" w14:paraId="7100EEB3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6BB3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A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6D4C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CA16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80C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BA943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D4926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£640</w:t>
            </w:r>
          </w:p>
        </w:tc>
      </w:tr>
      <w:tr w:rsidR="001B290E" w14:paraId="4048AD3B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4A34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B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8C6C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FBC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D46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83C4AA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B1C85DF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£490</w:t>
            </w:r>
          </w:p>
        </w:tc>
      </w:tr>
      <w:tr w:rsidR="001B290E" w14:paraId="53551E52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7598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C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14C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A20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2700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092A01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D3DB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£460</w:t>
            </w:r>
          </w:p>
        </w:tc>
      </w:tr>
      <w:tr w:rsidR="001B290E" w14:paraId="631B6B42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1A44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D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5A7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CD0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C0C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1FB60F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982049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£420</w:t>
            </w:r>
          </w:p>
        </w:tc>
      </w:tr>
      <w:tr w:rsidR="001B290E" w14:paraId="5FC425C5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9B8B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E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F1CC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F1D4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403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2C1F0E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B02D3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£270</w:t>
            </w:r>
          </w:p>
        </w:tc>
      </w:tr>
      <w:tr w:rsidR="001B290E" w14:paraId="1357347D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E1CB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F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D97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ED2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53A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46F18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ABE404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£220</w:t>
            </w:r>
          </w:p>
        </w:tc>
      </w:tr>
      <w:tr w:rsidR="001B290E" w14:paraId="60CD59F3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5A62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A (secondary)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133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952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866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3D4FDE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2DD191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£890</w:t>
            </w:r>
          </w:p>
        </w:tc>
      </w:tr>
      <w:tr w:rsidR="001B290E" w14:paraId="4B74A194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BAE9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B (secondary)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4B3E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781E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F4A1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87CD9C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E79CBC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£700</w:t>
            </w:r>
          </w:p>
        </w:tc>
      </w:tr>
      <w:tr w:rsidR="001B290E" w14:paraId="6D734F45" w14:textId="77777777" w:rsidTr="00C169F2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76F7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C (secondary)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D78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£678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D17A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E5BA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B8D11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39FB8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£650</w:t>
            </w:r>
          </w:p>
        </w:tc>
      </w:tr>
      <w:tr w:rsidR="001B290E" w14:paraId="32138671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F31D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D (secondary)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92D9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7DA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3BF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1E894E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865FB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£595</w:t>
            </w:r>
          </w:p>
        </w:tc>
      </w:tr>
      <w:tr w:rsidR="001B290E" w14:paraId="1B2DA8DD" w14:textId="77777777" w:rsidTr="00C169F2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5A0B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IDACI E (secondary)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2C4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F9FC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0FFC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9035C6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6BD741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£425</w:t>
            </w:r>
          </w:p>
        </w:tc>
      </w:tr>
      <w:tr w:rsidR="001B290E" w14:paraId="633190A7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3EE5E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IDACI F (secondary)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5BF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3DE9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FC2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6DE67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2E81A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£320</w:t>
            </w:r>
          </w:p>
        </w:tc>
      </w:tr>
      <w:tr w:rsidR="001B290E" w14:paraId="40260387" w14:textId="77777777" w:rsidTr="00C169F2">
        <w:trPr>
          <w:trHeight w:val="349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4974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 prior attainment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F1D6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5A9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F18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F5C6BF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D66D2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£1,130</w:t>
            </w:r>
          </w:p>
        </w:tc>
      </w:tr>
      <w:tr w:rsidR="001B290E" w14:paraId="08CF89EF" w14:textId="77777777" w:rsidTr="00C169F2">
        <w:trPr>
          <w:trHeight w:val="268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18C7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 prior attainment (secondary)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4FC1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6134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C34F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2B891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37E816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£1,710</w:t>
            </w:r>
          </w:p>
        </w:tc>
      </w:tr>
      <w:tr w:rsidR="001B290E" w14:paraId="0778B95B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45B5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EAL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E6D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1894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C860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E0BFDA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2CD1C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£565</w:t>
            </w:r>
          </w:p>
        </w:tc>
      </w:tr>
      <w:tr w:rsidR="001B290E" w14:paraId="456AB021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876A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EAL (secondary)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BF8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807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C220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571341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8A5EF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£1,530</w:t>
            </w:r>
          </w:p>
        </w:tc>
      </w:tr>
      <w:tr w:rsidR="001B290E" w14:paraId="0C50DBF2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FE0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Mobility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BEB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E06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71B0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5060DA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A0650A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£925</w:t>
            </w:r>
          </w:p>
        </w:tc>
      </w:tr>
      <w:tr w:rsidR="001B290E" w14:paraId="25BBE398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85F1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Mobility (secondary)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3CC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6A0C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1A57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414D20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38B67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£1,330</w:t>
            </w:r>
          </w:p>
        </w:tc>
      </w:tr>
      <w:tr w:rsidR="001B290E" w14:paraId="7DE8C17D" w14:textId="77777777" w:rsidTr="00C169F2">
        <w:trPr>
          <w:trHeight w:val="404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1031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Lump sum (both sectors)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F6B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£133,000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152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£15,200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869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44A63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A8CDB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£121,300</w:t>
            </w:r>
          </w:p>
        </w:tc>
      </w:tr>
      <w:tr w:rsidR="001B290E" w14:paraId="153F1DD1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DAB5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Sparsity (primary)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4D29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FDF5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4E3D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F3306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4F31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£55,000</w:t>
            </w:r>
          </w:p>
        </w:tc>
      </w:tr>
      <w:tr w:rsidR="001B290E" w14:paraId="785EF2BA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8796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Sparsity (secondary)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42D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C2B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F950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6432F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0379A8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£80,000</w:t>
            </w:r>
          </w:p>
        </w:tc>
      </w:tr>
      <w:tr w:rsidR="001B290E" w14:paraId="711D1672" w14:textId="77777777" w:rsidTr="00C169F2">
        <w:trPr>
          <w:trHeight w:val="33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BB75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PFI (RPIX)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7B4E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contract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264B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E59C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5F6DC2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028E63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tbc</w:t>
            </w:r>
          </w:p>
        </w:tc>
      </w:tr>
      <w:tr w:rsidR="001B290E" w14:paraId="3F41819B" w14:textId="77777777" w:rsidTr="00C169F2">
        <w:trPr>
          <w:trHeight w:val="3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133F" w14:textId="77777777" w:rsidR="001B290E" w:rsidRDefault="001B29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MFG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06DE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4837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5074" w14:textId="77777777" w:rsidR="001B290E" w:rsidRDefault="001B2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E05054" w14:textId="6A2DEF68" w:rsidR="001B290E" w:rsidRDefault="00C16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  <w:r w:rsidR="001B290E"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76665B" w14:textId="6CEDFCEE" w:rsidR="001B290E" w:rsidRDefault="00C16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-0.5% </w:t>
            </w:r>
            <w:r w:rsidR="001B290E"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</w:tr>
    </w:tbl>
    <w:p w14:paraId="396ED404" w14:textId="77777777" w:rsidR="00C54632" w:rsidRDefault="00C54632" w:rsidP="00C54632">
      <w:pPr>
        <w:pStyle w:val="Header"/>
        <w:tabs>
          <w:tab w:val="clear" w:pos="4153"/>
          <w:tab w:val="clear" w:pos="8306"/>
        </w:tabs>
        <w:ind w:left="360"/>
        <w:rPr>
          <w:b/>
          <w:sz w:val="28"/>
          <w:szCs w:val="28"/>
        </w:rPr>
      </w:pPr>
    </w:p>
    <w:p w14:paraId="100A111D" w14:textId="77777777" w:rsidR="00C54632" w:rsidRDefault="00C54632" w:rsidP="00C54632">
      <w:pPr>
        <w:pStyle w:val="Header"/>
        <w:tabs>
          <w:tab w:val="clear" w:pos="4153"/>
          <w:tab w:val="clear" w:pos="8306"/>
        </w:tabs>
        <w:ind w:left="360"/>
        <w:rPr>
          <w:b/>
          <w:sz w:val="28"/>
          <w:szCs w:val="28"/>
        </w:rPr>
      </w:pPr>
    </w:p>
    <w:p w14:paraId="78D77B90" w14:textId="36CE104D" w:rsidR="00242B8A" w:rsidRDefault="00C54632" w:rsidP="00C54632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1004"/>
        <w:rPr>
          <w:b/>
          <w:sz w:val="28"/>
          <w:szCs w:val="28"/>
        </w:rPr>
      </w:pPr>
      <w:r>
        <w:rPr>
          <w:b/>
          <w:sz w:val="28"/>
          <w:szCs w:val="28"/>
        </w:rPr>
        <w:t>NFF for High Needs 2022-23</w:t>
      </w:r>
    </w:p>
    <w:p w14:paraId="6C4E180B" w14:textId="77777777" w:rsidR="00242B8A" w:rsidRDefault="00242B8A" w:rsidP="00242B8A">
      <w:pPr>
        <w:pStyle w:val="Header"/>
        <w:tabs>
          <w:tab w:val="clear" w:pos="4153"/>
          <w:tab w:val="clear" w:pos="8306"/>
        </w:tabs>
        <w:ind w:left="720"/>
        <w:rPr>
          <w:b/>
          <w:sz w:val="28"/>
          <w:szCs w:val="28"/>
        </w:rPr>
      </w:pPr>
    </w:p>
    <w:p w14:paraId="4DD5C486" w14:textId="77777777" w:rsidR="00C54632" w:rsidRPr="00C54632" w:rsidRDefault="00C54632" w:rsidP="005847C2">
      <w:pPr>
        <w:pStyle w:val="Header"/>
        <w:numPr>
          <w:ilvl w:val="1"/>
          <w:numId w:val="2"/>
        </w:numPr>
        <w:ind w:hanging="720"/>
        <w:jc w:val="both"/>
        <w:rPr>
          <w:szCs w:val="24"/>
        </w:rPr>
      </w:pPr>
      <w:r w:rsidRPr="00C54632">
        <w:rPr>
          <w:szCs w:val="24"/>
        </w:rPr>
        <w:t xml:space="preserve">The NFF high needs funding to local authorities will increase by an 8% increase per head of population and capped up to 11% on gains.   </w:t>
      </w:r>
    </w:p>
    <w:p w14:paraId="1CE13866" w14:textId="77777777" w:rsidR="00C54632" w:rsidRPr="00C54632" w:rsidRDefault="00C54632" w:rsidP="00C54632">
      <w:pPr>
        <w:pStyle w:val="Header"/>
        <w:ind w:left="720"/>
        <w:jc w:val="both"/>
        <w:rPr>
          <w:szCs w:val="24"/>
        </w:rPr>
      </w:pPr>
    </w:p>
    <w:p w14:paraId="073D743B" w14:textId="77777777" w:rsidR="00C54632" w:rsidRPr="00C54632" w:rsidRDefault="00C54632" w:rsidP="005847C2">
      <w:pPr>
        <w:pStyle w:val="Header"/>
        <w:numPr>
          <w:ilvl w:val="1"/>
          <w:numId w:val="2"/>
        </w:numPr>
        <w:ind w:hanging="720"/>
        <w:jc w:val="both"/>
        <w:rPr>
          <w:szCs w:val="24"/>
        </w:rPr>
      </w:pPr>
      <w:r w:rsidRPr="00C54632">
        <w:rPr>
          <w:szCs w:val="24"/>
        </w:rPr>
        <w:t xml:space="preserve">Due to recent consultation on the high needs formula the historic spend factor has been updated to use 50% of local authorities’ actual spend data from 2017-18 section 251 reporting. In previous years the historic spend factor had been calculated using local authorities planned spend in 2017-18 rather than actual spend.  The DfE are looking at alternative proxies to include within the NFF formula and remove the historic factor in future years. </w:t>
      </w:r>
    </w:p>
    <w:p w14:paraId="5BA0A05F" w14:textId="77777777" w:rsidR="00C54632" w:rsidRPr="00C54632" w:rsidRDefault="00C54632" w:rsidP="00C54632">
      <w:pPr>
        <w:pStyle w:val="Header"/>
        <w:ind w:left="720"/>
        <w:jc w:val="both"/>
        <w:rPr>
          <w:szCs w:val="24"/>
        </w:rPr>
      </w:pPr>
    </w:p>
    <w:p w14:paraId="3C354B68" w14:textId="77777777" w:rsidR="00C54632" w:rsidRPr="00C54632" w:rsidRDefault="00C54632" w:rsidP="005847C2">
      <w:pPr>
        <w:pStyle w:val="Header"/>
        <w:numPr>
          <w:ilvl w:val="1"/>
          <w:numId w:val="2"/>
        </w:numPr>
        <w:ind w:hanging="720"/>
        <w:jc w:val="both"/>
        <w:rPr>
          <w:szCs w:val="24"/>
        </w:rPr>
      </w:pPr>
      <w:r w:rsidRPr="00C54632">
        <w:rPr>
          <w:szCs w:val="24"/>
        </w:rPr>
        <w:t>There is no appropriate 2020 attainment data due to Covid-19 to use for two low attainment factors, and after the recent consultation on using 2019 data as a proxy for 2020, this basis for the 2022-23 high needs allocation has been used, the same approach as schools NFF formula.</w:t>
      </w:r>
    </w:p>
    <w:p w14:paraId="639AA806" w14:textId="77777777" w:rsidR="00C54632" w:rsidRPr="00C54632" w:rsidRDefault="00C54632" w:rsidP="00C54632">
      <w:pPr>
        <w:pStyle w:val="Header"/>
        <w:ind w:left="720"/>
        <w:jc w:val="both"/>
        <w:rPr>
          <w:szCs w:val="24"/>
        </w:rPr>
      </w:pPr>
    </w:p>
    <w:p w14:paraId="077B3B4F" w14:textId="4385D59B" w:rsidR="00C54632" w:rsidRPr="00C54632" w:rsidRDefault="00C54632" w:rsidP="005847C2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ind w:hanging="720"/>
        <w:jc w:val="both"/>
        <w:rPr>
          <w:rFonts w:cs="Arial"/>
        </w:rPr>
      </w:pPr>
      <w:r w:rsidRPr="00C54632">
        <w:rPr>
          <w:szCs w:val="24"/>
        </w:rPr>
        <w:t>The hospital education factor will also be uplifted by 8% as in 2021-</w:t>
      </w:r>
      <w:r w:rsidR="005847C2">
        <w:rPr>
          <w:szCs w:val="24"/>
        </w:rPr>
        <w:t>22.</w:t>
      </w:r>
    </w:p>
    <w:p w14:paraId="2744B37B" w14:textId="77777777" w:rsidR="00C54632" w:rsidRDefault="00C54632" w:rsidP="00C54632">
      <w:pPr>
        <w:pStyle w:val="ListParagraph"/>
      </w:pPr>
    </w:p>
    <w:p w14:paraId="78D9B50D" w14:textId="77777777" w:rsidR="00242B8A" w:rsidRPr="00242B8A" w:rsidRDefault="00242B8A" w:rsidP="00242B8A">
      <w:pPr>
        <w:pStyle w:val="ListParagraph"/>
        <w:spacing w:line="259" w:lineRule="auto"/>
        <w:ind w:left="567"/>
        <w:rPr>
          <w:u w:val="single"/>
        </w:rPr>
      </w:pPr>
    </w:p>
    <w:p w14:paraId="30591D74" w14:textId="633906EA" w:rsidR="00242B8A" w:rsidRPr="00242B8A" w:rsidRDefault="00242B8A" w:rsidP="00242B8A">
      <w:pPr>
        <w:pStyle w:val="Header"/>
        <w:tabs>
          <w:tab w:val="clear" w:pos="4153"/>
          <w:tab w:val="clear" w:pos="8306"/>
        </w:tabs>
        <w:ind w:left="720"/>
        <w:rPr>
          <w:szCs w:val="24"/>
        </w:rPr>
      </w:pPr>
    </w:p>
    <w:p w14:paraId="381EB88E" w14:textId="3ED747CF" w:rsidR="00C54632" w:rsidRPr="005847C2" w:rsidRDefault="00C54632" w:rsidP="00C54632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1004"/>
        <w:rPr>
          <w:b/>
          <w:sz w:val="28"/>
          <w:szCs w:val="28"/>
        </w:rPr>
      </w:pPr>
      <w:r w:rsidRPr="005847C2">
        <w:rPr>
          <w:b/>
          <w:sz w:val="28"/>
          <w:szCs w:val="28"/>
        </w:rPr>
        <w:t>Central schools’ services NFF 2022-23</w:t>
      </w:r>
    </w:p>
    <w:p w14:paraId="52259E9E" w14:textId="77777777" w:rsidR="005847C2" w:rsidRDefault="005847C2" w:rsidP="00C54632">
      <w:pPr>
        <w:pStyle w:val="Header"/>
      </w:pPr>
    </w:p>
    <w:p w14:paraId="6E23BA60" w14:textId="70DE0304" w:rsidR="00C54632" w:rsidRPr="00C54632" w:rsidRDefault="00C54632" w:rsidP="005847C2">
      <w:pPr>
        <w:pStyle w:val="Header"/>
        <w:numPr>
          <w:ilvl w:val="1"/>
          <w:numId w:val="2"/>
        </w:numPr>
        <w:ind w:hanging="720"/>
        <w:jc w:val="both"/>
      </w:pPr>
      <w:r w:rsidRPr="00C54632">
        <w:t xml:space="preserve">The central services school block provides funding to local authorities to </w:t>
      </w:r>
      <w:r w:rsidR="005847C2">
        <w:t>maintain</w:t>
      </w:r>
      <w:r w:rsidRPr="00C54632">
        <w:t xml:space="preserve"> central functions on behalf of maintained schools and academies.</w:t>
      </w:r>
    </w:p>
    <w:p w14:paraId="6BB1F347" w14:textId="77777777" w:rsidR="00C54632" w:rsidRPr="00C54632" w:rsidRDefault="00C54632" w:rsidP="00C54632">
      <w:pPr>
        <w:pStyle w:val="Header"/>
      </w:pPr>
    </w:p>
    <w:p w14:paraId="63EAA431" w14:textId="4C087EEF" w:rsidR="00C54632" w:rsidRPr="00C54632" w:rsidRDefault="005847C2" w:rsidP="005847C2">
      <w:pPr>
        <w:pStyle w:val="Header"/>
        <w:tabs>
          <w:tab w:val="clear" w:pos="4153"/>
          <w:tab w:val="clear" w:pos="8306"/>
        </w:tabs>
        <w:ind w:left="720" w:hanging="720"/>
      </w:pPr>
      <w:r>
        <w:t>5.2</w:t>
      </w:r>
      <w:r>
        <w:tab/>
      </w:r>
      <w:r w:rsidR="00C54632" w:rsidRPr="00C54632">
        <w:t xml:space="preserve">The block comprises of two elements: ongoing responsibilities and historic commitments and funding will continue for 2022-23.  </w:t>
      </w:r>
    </w:p>
    <w:p w14:paraId="468F8967" w14:textId="767554F4" w:rsidR="00C54632" w:rsidRDefault="00C54632" w:rsidP="00C54632">
      <w:pPr>
        <w:pStyle w:val="Header"/>
        <w:tabs>
          <w:tab w:val="clear" w:pos="4153"/>
          <w:tab w:val="clear" w:pos="8306"/>
        </w:tabs>
        <w:rPr>
          <w:b/>
        </w:rPr>
      </w:pPr>
    </w:p>
    <w:p w14:paraId="0E491479" w14:textId="77777777" w:rsidR="00C54632" w:rsidRPr="00C54632" w:rsidRDefault="00C54632" w:rsidP="00C54632">
      <w:pPr>
        <w:pStyle w:val="Header"/>
        <w:tabs>
          <w:tab w:val="clear" w:pos="4153"/>
          <w:tab w:val="clear" w:pos="8306"/>
        </w:tabs>
        <w:rPr>
          <w:b/>
        </w:rPr>
      </w:pPr>
    </w:p>
    <w:p w14:paraId="7DD745E7" w14:textId="46BC1281" w:rsidR="00904A8D" w:rsidRPr="00420DD5" w:rsidRDefault="00904A8D" w:rsidP="00C54632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hanging="1004"/>
        <w:rPr>
          <w:b/>
        </w:rPr>
      </w:pPr>
      <w:r w:rsidRPr="00420DD5">
        <w:rPr>
          <w:rFonts w:cs="Arial"/>
          <w:b/>
          <w:bCs/>
          <w:sz w:val="28"/>
        </w:rPr>
        <w:t>Financial, resource and property implications</w:t>
      </w:r>
    </w:p>
    <w:p w14:paraId="46A1A874" w14:textId="77777777" w:rsidR="00904A8D" w:rsidRPr="00420DD5" w:rsidRDefault="00904A8D">
      <w:pPr>
        <w:pStyle w:val="Header"/>
        <w:tabs>
          <w:tab w:val="clear" w:pos="4153"/>
          <w:tab w:val="clear" w:pos="8306"/>
        </w:tabs>
        <w:rPr>
          <w:b/>
        </w:rPr>
      </w:pPr>
    </w:p>
    <w:p w14:paraId="42C83598" w14:textId="36437022" w:rsidR="00904A8D" w:rsidRPr="00420DD5" w:rsidRDefault="00C54632" w:rsidP="00CA1E66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bCs/>
        </w:rPr>
      </w:pPr>
      <w:r>
        <w:rPr>
          <w:bCs/>
        </w:rPr>
        <w:t>6</w:t>
      </w:r>
      <w:r w:rsidR="00904A8D" w:rsidRPr="00420DD5">
        <w:rPr>
          <w:bCs/>
        </w:rPr>
        <w:t>.1</w:t>
      </w:r>
      <w:r w:rsidR="00904A8D" w:rsidRPr="00420DD5">
        <w:rPr>
          <w:bCs/>
        </w:rPr>
        <w:tab/>
        <w:t>The financial implications are detailed in the main body of this report</w:t>
      </w:r>
      <w:r w:rsidR="00974BB9" w:rsidRPr="00420DD5">
        <w:rPr>
          <w:bCs/>
        </w:rPr>
        <w:t>.</w:t>
      </w:r>
      <w:r w:rsidR="00904A8D" w:rsidRPr="00420DD5">
        <w:rPr>
          <w:bCs/>
        </w:rPr>
        <w:br/>
      </w:r>
    </w:p>
    <w:p w14:paraId="15BCDEB0" w14:textId="20D928BD" w:rsidR="00904A8D" w:rsidRPr="00420DD5" w:rsidRDefault="005847C2" w:rsidP="005847C2">
      <w:pPr>
        <w:pStyle w:val="Header"/>
        <w:tabs>
          <w:tab w:val="clear" w:pos="4153"/>
          <w:tab w:val="clear" w:pos="8306"/>
        </w:tabs>
        <w:ind w:hanging="284"/>
        <w:rPr>
          <w:b/>
        </w:rPr>
      </w:pPr>
      <w:r>
        <w:rPr>
          <w:rFonts w:cs="Arial"/>
          <w:b/>
          <w:bCs/>
          <w:sz w:val="28"/>
        </w:rPr>
        <w:lastRenderedPageBreak/>
        <w:t>7.</w:t>
      </w:r>
      <w:r>
        <w:rPr>
          <w:rFonts w:cs="Arial"/>
          <w:b/>
          <w:bCs/>
          <w:sz w:val="28"/>
        </w:rPr>
        <w:tab/>
        <w:t xml:space="preserve">          </w:t>
      </w:r>
      <w:r w:rsidR="00904A8D" w:rsidRPr="00420DD5">
        <w:rPr>
          <w:rFonts w:cs="Arial"/>
          <w:b/>
          <w:bCs/>
          <w:sz w:val="28"/>
        </w:rPr>
        <w:t>Legal and statutory implications</w:t>
      </w:r>
      <w:r w:rsidR="00904A8D" w:rsidRPr="00420DD5">
        <w:rPr>
          <w:b/>
        </w:rPr>
        <w:br/>
      </w:r>
    </w:p>
    <w:p w14:paraId="09B7D0F2" w14:textId="056017AB" w:rsidR="00904A8D" w:rsidRPr="00420DD5" w:rsidRDefault="005847C2" w:rsidP="005847C2">
      <w:pPr>
        <w:pStyle w:val="Header"/>
        <w:numPr>
          <w:ilvl w:val="1"/>
          <w:numId w:val="19"/>
        </w:numPr>
        <w:tabs>
          <w:tab w:val="clear" w:pos="4153"/>
          <w:tab w:val="clear" w:pos="8306"/>
        </w:tabs>
        <w:jc w:val="both"/>
      </w:pPr>
      <w:r>
        <w:t xml:space="preserve">      </w:t>
      </w:r>
      <w:r w:rsidR="00904A8D" w:rsidRPr="00420DD5">
        <w:t xml:space="preserve">No legal implications at this stage. </w:t>
      </w:r>
    </w:p>
    <w:p w14:paraId="6BD78092" w14:textId="77777777" w:rsidR="00904A8D" w:rsidRPr="00420DD5" w:rsidRDefault="00904A8D">
      <w:pPr>
        <w:pStyle w:val="Header"/>
        <w:tabs>
          <w:tab w:val="clear" w:pos="4153"/>
          <w:tab w:val="clear" w:pos="8306"/>
        </w:tabs>
        <w:ind w:left="285" w:hanging="285"/>
        <w:rPr>
          <w:b/>
        </w:rPr>
      </w:pPr>
    </w:p>
    <w:p w14:paraId="456C44C5" w14:textId="0DB5881F" w:rsidR="00904A8D" w:rsidRPr="005847C2" w:rsidRDefault="00904A8D" w:rsidP="005847C2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ind w:hanging="1004"/>
        <w:rPr>
          <w:b/>
        </w:rPr>
      </w:pPr>
      <w:r w:rsidRPr="005847C2">
        <w:rPr>
          <w:rFonts w:cs="Arial"/>
          <w:b/>
          <w:bCs/>
          <w:sz w:val="28"/>
        </w:rPr>
        <w:t xml:space="preserve">Human rights, equalities and community cohesion </w:t>
      </w:r>
      <w:r w:rsidR="005847C2">
        <w:rPr>
          <w:rFonts w:cs="Arial"/>
          <w:b/>
          <w:bCs/>
          <w:sz w:val="28"/>
        </w:rPr>
        <w:t>i</w:t>
      </w:r>
      <w:r w:rsidRPr="005847C2">
        <w:rPr>
          <w:rFonts w:cs="Arial"/>
          <w:b/>
          <w:bCs/>
          <w:sz w:val="28"/>
        </w:rPr>
        <w:t>mplications</w:t>
      </w:r>
      <w:r w:rsidRPr="005847C2">
        <w:rPr>
          <w:b/>
        </w:rPr>
        <w:br/>
      </w:r>
    </w:p>
    <w:p w14:paraId="65970A69" w14:textId="79B697E8" w:rsidR="00904A8D" w:rsidRPr="00420DD5" w:rsidRDefault="00904A8D" w:rsidP="005847C2">
      <w:pPr>
        <w:pStyle w:val="Header"/>
        <w:numPr>
          <w:ilvl w:val="1"/>
          <w:numId w:val="20"/>
        </w:numPr>
        <w:tabs>
          <w:tab w:val="clear" w:pos="4153"/>
          <w:tab w:val="clear" w:pos="8306"/>
        </w:tabs>
        <w:ind w:left="709" w:hanging="709"/>
        <w:jc w:val="both"/>
      </w:pPr>
      <w:r w:rsidRPr="00420DD5">
        <w:t>None at this stage.</w:t>
      </w:r>
    </w:p>
    <w:p w14:paraId="6E775DF8" w14:textId="77777777" w:rsidR="00904A8D" w:rsidRPr="00420DD5" w:rsidRDefault="00904A8D">
      <w:pPr>
        <w:autoSpaceDE w:val="0"/>
        <w:autoSpaceDN w:val="0"/>
        <w:adjustRightInd w:val="0"/>
        <w:rPr>
          <w:color w:val="000000"/>
          <w:lang w:val="en-US"/>
        </w:rPr>
      </w:pPr>
    </w:p>
    <w:p w14:paraId="745CEEA6" w14:textId="58AF6600" w:rsidR="00904A8D" w:rsidRPr="00420DD5" w:rsidRDefault="00904A8D" w:rsidP="005847C2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ind w:hanging="1004"/>
        <w:rPr>
          <w:rFonts w:cs="Arial"/>
          <w:b/>
          <w:bCs/>
          <w:sz w:val="28"/>
        </w:rPr>
      </w:pPr>
      <w:r w:rsidRPr="00420DD5">
        <w:rPr>
          <w:rFonts w:cs="Arial"/>
          <w:b/>
          <w:bCs/>
          <w:sz w:val="28"/>
        </w:rPr>
        <w:t>Appendices</w:t>
      </w:r>
    </w:p>
    <w:p w14:paraId="2C3C4460" w14:textId="77777777" w:rsidR="00904A8D" w:rsidRPr="00420DD5" w:rsidRDefault="00904A8D">
      <w:pPr>
        <w:pStyle w:val="Header"/>
        <w:tabs>
          <w:tab w:val="clear" w:pos="4153"/>
          <w:tab w:val="clear" w:pos="8306"/>
        </w:tabs>
      </w:pPr>
    </w:p>
    <w:p w14:paraId="1F17EA46" w14:textId="266CAABA" w:rsidR="007970B2" w:rsidRDefault="0016255C" w:rsidP="005847C2">
      <w:pPr>
        <w:pStyle w:val="Header"/>
        <w:tabs>
          <w:tab w:val="clear" w:pos="4153"/>
          <w:tab w:val="clear" w:pos="8306"/>
        </w:tabs>
        <w:ind w:left="720"/>
      </w:pPr>
      <w:r>
        <w:t>A</w:t>
      </w:r>
      <w:r w:rsidR="005847C2">
        <w:t>nnex 1 –</w:t>
      </w:r>
      <w:r>
        <w:t xml:space="preserve"> </w:t>
      </w:r>
      <w:r w:rsidR="005847C2">
        <w:t>NFF Published School Allocations 2022-23</w:t>
      </w:r>
    </w:p>
    <w:p w14:paraId="73833946" w14:textId="77777777" w:rsidR="00904A8D" w:rsidRPr="00420DD5" w:rsidRDefault="00904A8D">
      <w:pPr>
        <w:pStyle w:val="Header"/>
        <w:tabs>
          <w:tab w:val="clear" w:pos="4153"/>
          <w:tab w:val="clear" w:pos="8306"/>
        </w:tabs>
      </w:pPr>
      <w:r w:rsidRPr="00420DD5">
        <w:tab/>
      </w:r>
    </w:p>
    <w:p w14:paraId="0C3914F7" w14:textId="58379C0C" w:rsidR="00904A8D" w:rsidRPr="00420DD5" w:rsidRDefault="00904A8D" w:rsidP="005847C2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ind w:hanging="1004"/>
        <w:rPr>
          <w:rFonts w:cs="Arial"/>
          <w:b/>
          <w:bCs/>
          <w:sz w:val="28"/>
        </w:rPr>
      </w:pPr>
      <w:r w:rsidRPr="00420DD5">
        <w:rPr>
          <w:rFonts w:cs="Arial"/>
          <w:b/>
          <w:bCs/>
          <w:sz w:val="28"/>
        </w:rPr>
        <w:t xml:space="preserve">Background Papers – the following documents have been relied on in drawing up this report but do not form part of the report: </w:t>
      </w:r>
    </w:p>
    <w:p w14:paraId="04E5F5D1" w14:textId="77777777" w:rsidR="00904A8D" w:rsidRDefault="00904A8D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 w:val="28"/>
        </w:rPr>
      </w:pPr>
    </w:p>
    <w:p w14:paraId="0513FB3E" w14:textId="0D8B07B3" w:rsidR="00904A8D" w:rsidRPr="00420DD5" w:rsidRDefault="00242B8A" w:rsidP="00C169F2">
      <w:pPr>
        <w:pStyle w:val="Header"/>
        <w:numPr>
          <w:ilvl w:val="1"/>
          <w:numId w:val="20"/>
        </w:numPr>
        <w:tabs>
          <w:tab w:val="clear" w:pos="4153"/>
          <w:tab w:val="clear" w:pos="8306"/>
        </w:tabs>
        <w:ind w:left="709" w:hanging="709"/>
        <w:jc w:val="both"/>
      </w:pPr>
      <w:r>
        <w:t>C</w:t>
      </w:r>
      <w:r w:rsidR="00904A8D" w:rsidRPr="00420DD5">
        <w:t>entrally held financial information and other papers held by the Children Schools and Families Finance Team.</w:t>
      </w:r>
    </w:p>
    <w:p w14:paraId="6A9A225B" w14:textId="77777777" w:rsidR="00904A8D" w:rsidRPr="00420DD5" w:rsidRDefault="00904A8D">
      <w:pPr>
        <w:pStyle w:val="Header"/>
        <w:tabs>
          <w:tab w:val="clear" w:pos="4153"/>
          <w:tab w:val="clear" w:pos="8306"/>
        </w:tabs>
      </w:pPr>
    </w:p>
    <w:p w14:paraId="3624FD09" w14:textId="77777777" w:rsidR="00904A8D" w:rsidRPr="00420DD5" w:rsidRDefault="00904A8D" w:rsidP="005847C2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ind w:hanging="1004"/>
        <w:rPr>
          <w:rFonts w:cs="Arial"/>
          <w:b/>
          <w:bCs/>
          <w:sz w:val="28"/>
        </w:rPr>
      </w:pPr>
      <w:r w:rsidRPr="00420DD5">
        <w:rPr>
          <w:rFonts w:cs="Arial"/>
          <w:b/>
          <w:bCs/>
          <w:sz w:val="28"/>
        </w:rPr>
        <w:t>Report author</w:t>
      </w:r>
    </w:p>
    <w:p w14:paraId="440C2566" w14:textId="77777777" w:rsidR="00904A8D" w:rsidRPr="00420DD5" w:rsidRDefault="00904A8D">
      <w:pPr>
        <w:pStyle w:val="Header"/>
        <w:tabs>
          <w:tab w:val="clear" w:pos="4153"/>
          <w:tab w:val="clear" w:pos="8306"/>
        </w:tabs>
      </w:pPr>
    </w:p>
    <w:p w14:paraId="21039FCF" w14:textId="2B8089E7" w:rsidR="00904A8D" w:rsidRPr="00420DD5" w:rsidRDefault="00106BE5">
      <w:pPr>
        <w:pStyle w:val="Header"/>
        <w:tabs>
          <w:tab w:val="clear" w:pos="4153"/>
          <w:tab w:val="clear" w:pos="8306"/>
        </w:tabs>
      </w:pPr>
      <w:r>
        <w:t xml:space="preserve">Pat Harvey, Interim Principal Accountant, </w:t>
      </w:r>
      <w:r w:rsidR="00904A8D" w:rsidRPr="00420DD5">
        <w:t xml:space="preserve">CSF    </w:t>
      </w:r>
    </w:p>
    <w:p w14:paraId="2316954D" w14:textId="5AE81B15" w:rsidR="00904A8D" w:rsidRPr="00420DD5" w:rsidRDefault="00F0466C">
      <w:pPr>
        <w:pStyle w:val="Header"/>
        <w:tabs>
          <w:tab w:val="clear" w:pos="4153"/>
          <w:tab w:val="clear" w:pos="8306"/>
        </w:tabs>
      </w:pPr>
      <w:r>
        <w:t>0208 545 3939</w:t>
      </w:r>
    </w:p>
    <w:p w14:paraId="346A814B" w14:textId="6BBEA37E" w:rsidR="00904A8D" w:rsidRPr="00420DD5" w:rsidRDefault="00ED4DB9">
      <w:pPr>
        <w:pStyle w:val="Header"/>
        <w:tabs>
          <w:tab w:val="clear" w:pos="4153"/>
          <w:tab w:val="clear" w:pos="8306"/>
        </w:tabs>
      </w:pPr>
      <w:hyperlink r:id="rId12" w:history="1">
        <w:r w:rsidR="00F0466C" w:rsidRPr="00DC4D1E">
          <w:rPr>
            <w:rStyle w:val="Hyperlink"/>
          </w:rPr>
          <w:t>Patricia.harvey@merton.gov.uk</w:t>
        </w:r>
      </w:hyperlink>
    </w:p>
    <w:p w14:paraId="74EED74F" w14:textId="77777777" w:rsidR="00904A8D" w:rsidRPr="00420DD5" w:rsidRDefault="00904A8D">
      <w:pPr>
        <w:pStyle w:val="Header"/>
        <w:tabs>
          <w:tab w:val="clear" w:pos="4153"/>
          <w:tab w:val="clear" w:pos="8306"/>
        </w:tabs>
      </w:pPr>
    </w:p>
    <w:p w14:paraId="09C6F354" w14:textId="77777777" w:rsidR="00904A8D" w:rsidRDefault="00904A8D" w:rsidP="00CA1E66">
      <w:pPr>
        <w:pStyle w:val="Header"/>
        <w:tabs>
          <w:tab w:val="clear" w:pos="4153"/>
          <w:tab w:val="clear" w:pos="8306"/>
        </w:tabs>
        <w:jc w:val="both"/>
      </w:pPr>
      <w:r w:rsidRPr="00420DD5">
        <w:t xml:space="preserve">Further information about Merton Council can be obtained from its web site </w:t>
      </w:r>
      <w:hyperlink r:id="rId13" w:history="1">
        <w:r w:rsidRPr="00420DD5">
          <w:rPr>
            <w:rStyle w:val="Hyperlink"/>
          </w:rPr>
          <w:t>www.merton.gov.uk</w:t>
        </w:r>
      </w:hyperlink>
      <w:r>
        <w:t xml:space="preserve"> </w:t>
      </w:r>
    </w:p>
    <w:p w14:paraId="30719A49" w14:textId="77777777" w:rsidR="00117944" w:rsidRDefault="00117944">
      <w:pPr>
        <w:pStyle w:val="Header"/>
        <w:tabs>
          <w:tab w:val="clear" w:pos="4153"/>
          <w:tab w:val="clear" w:pos="8306"/>
        </w:tabs>
        <w:jc w:val="right"/>
        <w:rPr>
          <w:b/>
          <w:sz w:val="36"/>
        </w:rPr>
      </w:pPr>
    </w:p>
    <w:p w14:paraId="631480C8" w14:textId="07F51FE9" w:rsidR="005847C2" w:rsidRDefault="005847C2">
      <w:pPr>
        <w:rPr>
          <w:b/>
          <w:sz w:val="36"/>
        </w:rPr>
      </w:pPr>
    </w:p>
    <w:p w14:paraId="722EA2D1" w14:textId="77777777" w:rsidR="005847C2" w:rsidRPr="005847C2" w:rsidRDefault="005847C2" w:rsidP="005847C2">
      <w:pPr>
        <w:rPr>
          <w:sz w:val="36"/>
        </w:rPr>
      </w:pPr>
    </w:p>
    <w:p w14:paraId="00C27D69" w14:textId="77777777" w:rsidR="005847C2" w:rsidRPr="005847C2" w:rsidRDefault="005847C2" w:rsidP="005847C2">
      <w:pPr>
        <w:rPr>
          <w:sz w:val="36"/>
        </w:rPr>
      </w:pPr>
    </w:p>
    <w:p w14:paraId="204C04C9" w14:textId="77777777" w:rsidR="005847C2" w:rsidRPr="005847C2" w:rsidRDefault="005847C2" w:rsidP="005847C2">
      <w:pPr>
        <w:rPr>
          <w:sz w:val="36"/>
        </w:rPr>
      </w:pPr>
    </w:p>
    <w:p w14:paraId="61D5DDD2" w14:textId="0E40D945" w:rsidR="002072A9" w:rsidRPr="005847C2" w:rsidRDefault="002072A9" w:rsidP="005847C2">
      <w:pPr>
        <w:rPr>
          <w:sz w:val="36"/>
        </w:rPr>
        <w:sectPr w:rsidR="002072A9" w:rsidRPr="005847C2" w:rsidSect="00DE37CE">
          <w:footerReference w:type="default" r:id="rId14"/>
          <w:pgSz w:w="11906" w:h="16838"/>
          <w:pgMar w:top="568" w:right="1418" w:bottom="1242" w:left="1418" w:header="709" w:footer="709" w:gutter="0"/>
          <w:cols w:space="708"/>
          <w:docGrid w:linePitch="360"/>
        </w:sectPr>
      </w:pPr>
    </w:p>
    <w:p w14:paraId="0CBD3550" w14:textId="0CC333BA" w:rsidR="00794AD2" w:rsidRDefault="005847C2" w:rsidP="00B762F5">
      <w:pPr>
        <w:rPr>
          <w:rFonts w:ascii="Arial" w:hAnsi="Arial"/>
          <w:b/>
          <w:sz w:val="20"/>
          <w:szCs w:val="20"/>
        </w:rPr>
      </w:pPr>
      <w:r w:rsidRPr="005847C2">
        <w:lastRenderedPageBreak/>
        <w:drawing>
          <wp:anchor distT="0" distB="0" distL="114300" distR="114300" simplePos="0" relativeHeight="251658240" behindDoc="0" locked="0" layoutInCell="1" allowOverlap="1" wp14:anchorId="7E448A42" wp14:editId="672453F1">
            <wp:simplePos x="0" y="0"/>
            <wp:positionH relativeFrom="column">
              <wp:posOffset>-865505</wp:posOffset>
            </wp:positionH>
            <wp:positionV relativeFrom="paragraph">
              <wp:posOffset>0</wp:posOffset>
            </wp:positionV>
            <wp:extent cx="10521950" cy="70523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0" cy="705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AD2" w:rsidSect="005847C2">
      <w:pgSz w:w="16838" w:h="11906" w:orient="landscape"/>
      <w:pgMar w:top="284" w:right="851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188CC" w14:textId="77777777" w:rsidR="00ED4DB9" w:rsidRDefault="00ED4DB9">
      <w:r>
        <w:separator/>
      </w:r>
    </w:p>
  </w:endnote>
  <w:endnote w:type="continuationSeparator" w:id="0">
    <w:p w14:paraId="6559EE3F" w14:textId="77777777" w:rsidR="00ED4DB9" w:rsidRDefault="00ED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DF8A" w14:textId="6C35C0D1" w:rsidR="00ED4DB9" w:rsidRDefault="00ED4DB9" w:rsidP="00C2683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40A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3E3F" w14:textId="77777777" w:rsidR="00ED4DB9" w:rsidRDefault="00ED4DB9">
      <w:r>
        <w:separator/>
      </w:r>
    </w:p>
  </w:footnote>
  <w:footnote w:type="continuationSeparator" w:id="0">
    <w:p w14:paraId="48D6DEE3" w14:textId="77777777" w:rsidR="00ED4DB9" w:rsidRDefault="00ED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286"/>
    <w:multiLevelType w:val="multilevel"/>
    <w:tmpl w:val="447464F2"/>
    <w:lvl w:ilvl="0">
      <w:start w:val="8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A66B57"/>
    <w:multiLevelType w:val="hybridMultilevel"/>
    <w:tmpl w:val="0BB4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72398"/>
    <w:multiLevelType w:val="hybridMultilevel"/>
    <w:tmpl w:val="CDCCA968"/>
    <w:lvl w:ilvl="0" w:tplc="B9265FF2">
      <w:start w:val="1"/>
      <w:numFmt w:val="decimal"/>
      <w:lvlText w:val="3.%1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C7F22"/>
    <w:multiLevelType w:val="hybridMultilevel"/>
    <w:tmpl w:val="0BB4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B3A4D"/>
    <w:multiLevelType w:val="multilevel"/>
    <w:tmpl w:val="CFAA2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60406BE"/>
    <w:multiLevelType w:val="hybridMultilevel"/>
    <w:tmpl w:val="5B2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750D"/>
    <w:multiLevelType w:val="hybridMultilevel"/>
    <w:tmpl w:val="8842F0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0269E4"/>
    <w:multiLevelType w:val="hybridMultilevel"/>
    <w:tmpl w:val="3DC083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094773"/>
    <w:multiLevelType w:val="multilevel"/>
    <w:tmpl w:val="BD5E488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43C47A8E"/>
    <w:multiLevelType w:val="hybridMultilevel"/>
    <w:tmpl w:val="0BB4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BC553D"/>
    <w:multiLevelType w:val="multilevel"/>
    <w:tmpl w:val="A40A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787BF3"/>
    <w:multiLevelType w:val="multilevel"/>
    <w:tmpl w:val="C1623E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8A7326"/>
    <w:multiLevelType w:val="hybridMultilevel"/>
    <w:tmpl w:val="C808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5632B"/>
    <w:multiLevelType w:val="multilevel"/>
    <w:tmpl w:val="F850A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6F5F5ECF"/>
    <w:multiLevelType w:val="hybridMultilevel"/>
    <w:tmpl w:val="008E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221EE"/>
    <w:multiLevelType w:val="multilevel"/>
    <w:tmpl w:val="2F16E560"/>
    <w:lvl w:ilvl="0">
      <w:start w:val="1"/>
      <w:numFmt w:val="decimal"/>
      <w:lvlText w:val="%1"/>
      <w:lvlJc w:val="left"/>
      <w:pPr>
        <w:ind w:left="570" w:hanging="57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712" w:hanging="57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16" w15:restartNumberingAfterBreak="0">
    <w:nsid w:val="725E5A16"/>
    <w:multiLevelType w:val="hybridMultilevel"/>
    <w:tmpl w:val="03D66AFC"/>
    <w:lvl w:ilvl="0" w:tplc="FFFFFFFF">
      <w:start w:val="2"/>
      <w:numFmt w:val="upperLetter"/>
      <w:pStyle w:val="Heading7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983AA5"/>
    <w:multiLevelType w:val="hybridMultilevel"/>
    <w:tmpl w:val="13C60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8B2095"/>
    <w:multiLevelType w:val="multilevel"/>
    <w:tmpl w:val="12BA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AA5097"/>
    <w:multiLevelType w:val="hybridMultilevel"/>
    <w:tmpl w:val="CA804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01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9CEB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921F4A">
      <w:start w:val="1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7"/>
  </w:num>
  <w:num w:numId="10">
    <w:abstractNumId w:val="10"/>
  </w:num>
  <w:num w:numId="11">
    <w:abstractNumId w:val="7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4"/>
  </w:num>
  <w:num w:numId="17">
    <w:abstractNumId w:val="12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F"/>
    <w:rsid w:val="000061A6"/>
    <w:rsid w:val="0000691E"/>
    <w:rsid w:val="0001074A"/>
    <w:rsid w:val="00012FC7"/>
    <w:rsid w:val="000140C2"/>
    <w:rsid w:val="00016282"/>
    <w:rsid w:val="000326AB"/>
    <w:rsid w:val="0003678F"/>
    <w:rsid w:val="0004085A"/>
    <w:rsid w:val="0004318D"/>
    <w:rsid w:val="00065F87"/>
    <w:rsid w:val="000807D3"/>
    <w:rsid w:val="00092A34"/>
    <w:rsid w:val="00094B92"/>
    <w:rsid w:val="000A481E"/>
    <w:rsid w:val="000A4BC1"/>
    <w:rsid w:val="000C1D8C"/>
    <w:rsid w:val="000C4D73"/>
    <w:rsid w:val="000C5D71"/>
    <w:rsid w:val="000C6058"/>
    <w:rsid w:val="000E1F3C"/>
    <w:rsid w:val="001033F9"/>
    <w:rsid w:val="00106BE5"/>
    <w:rsid w:val="0010723E"/>
    <w:rsid w:val="00117944"/>
    <w:rsid w:val="00122298"/>
    <w:rsid w:val="001248F4"/>
    <w:rsid w:val="00141ECE"/>
    <w:rsid w:val="001429C1"/>
    <w:rsid w:val="00143C85"/>
    <w:rsid w:val="00144791"/>
    <w:rsid w:val="00154EB3"/>
    <w:rsid w:val="0015558B"/>
    <w:rsid w:val="00157B9D"/>
    <w:rsid w:val="0016255C"/>
    <w:rsid w:val="001641D2"/>
    <w:rsid w:val="00170C17"/>
    <w:rsid w:val="00183D42"/>
    <w:rsid w:val="00184291"/>
    <w:rsid w:val="001B290E"/>
    <w:rsid w:val="001B3EEC"/>
    <w:rsid w:val="001C2942"/>
    <w:rsid w:val="001E226F"/>
    <w:rsid w:val="001F00EE"/>
    <w:rsid w:val="002072A9"/>
    <w:rsid w:val="00213F8C"/>
    <w:rsid w:val="00216C52"/>
    <w:rsid w:val="0023442C"/>
    <w:rsid w:val="00242B8A"/>
    <w:rsid w:val="00245A24"/>
    <w:rsid w:val="00256D7D"/>
    <w:rsid w:val="002A5533"/>
    <w:rsid w:val="002A58DA"/>
    <w:rsid w:val="002B2619"/>
    <w:rsid w:val="002C3DA9"/>
    <w:rsid w:val="002D49FF"/>
    <w:rsid w:val="002D7326"/>
    <w:rsid w:val="002E2DD2"/>
    <w:rsid w:val="002E4C70"/>
    <w:rsid w:val="002E5D2C"/>
    <w:rsid w:val="002E6C06"/>
    <w:rsid w:val="002F1848"/>
    <w:rsid w:val="002F1DC0"/>
    <w:rsid w:val="002F5D49"/>
    <w:rsid w:val="00301840"/>
    <w:rsid w:val="00303DE8"/>
    <w:rsid w:val="003115BC"/>
    <w:rsid w:val="003145B9"/>
    <w:rsid w:val="0032100F"/>
    <w:rsid w:val="00331168"/>
    <w:rsid w:val="0033186E"/>
    <w:rsid w:val="00336451"/>
    <w:rsid w:val="003424DF"/>
    <w:rsid w:val="00343C21"/>
    <w:rsid w:val="003462EF"/>
    <w:rsid w:val="00351248"/>
    <w:rsid w:val="00351E20"/>
    <w:rsid w:val="00353C19"/>
    <w:rsid w:val="003637ED"/>
    <w:rsid w:val="00364C3C"/>
    <w:rsid w:val="00370DEA"/>
    <w:rsid w:val="00374717"/>
    <w:rsid w:val="00381A20"/>
    <w:rsid w:val="003858E1"/>
    <w:rsid w:val="00393871"/>
    <w:rsid w:val="0039464E"/>
    <w:rsid w:val="003A3819"/>
    <w:rsid w:val="003A6389"/>
    <w:rsid w:val="003C296D"/>
    <w:rsid w:val="003C33A0"/>
    <w:rsid w:val="003C6DF5"/>
    <w:rsid w:val="003D4421"/>
    <w:rsid w:val="003E0433"/>
    <w:rsid w:val="003E2D2B"/>
    <w:rsid w:val="003F23A2"/>
    <w:rsid w:val="003F67F4"/>
    <w:rsid w:val="003F6F87"/>
    <w:rsid w:val="004026A3"/>
    <w:rsid w:val="004028B7"/>
    <w:rsid w:val="00406709"/>
    <w:rsid w:val="00420DD5"/>
    <w:rsid w:val="00427415"/>
    <w:rsid w:val="00434147"/>
    <w:rsid w:val="004341EF"/>
    <w:rsid w:val="00434CBA"/>
    <w:rsid w:val="00444101"/>
    <w:rsid w:val="00454DBB"/>
    <w:rsid w:val="0046269E"/>
    <w:rsid w:val="0046274E"/>
    <w:rsid w:val="0048394B"/>
    <w:rsid w:val="0049324F"/>
    <w:rsid w:val="00494166"/>
    <w:rsid w:val="00497E39"/>
    <w:rsid w:val="004A251B"/>
    <w:rsid w:val="004B01CC"/>
    <w:rsid w:val="004B3B1A"/>
    <w:rsid w:val="004B48DB"/>
    <w:rsid w:val="004B584D"/>
    <w:rsid w:val="004C1A79"/>
    <w:rsid w:val="004C26F6"/>
    <w:rsid w:val="004C4667"/>
    <w:rsid w:val="004D1B64"/>
    <w:rsid w:val="004D691B"/>
    <w:rsid w:val="004D7AA9"/>
    <w:rsid w:val="004E2A4A"/>
    <w:rsid w:val="004E2D0C"/>
    <w:rsid w:val="004E42C3"/>
    <w:rsid w:val="004F3DD0"/>
    <w:rsid w:val="004F465B"/>
    <w:rsid w:val="004F666E"/>
    <w:rsid w:val="005040BF"/>
    <w:rsid w:val="00505B71"/>
    <w:rsid w:val="005068B4"/>
    <w:rsid w:val="00507060"/>
    <w:rsid w:val="00512D3D"/>
    <w:rsid w:val="00513BFE"/>
    <w:rsid w:val="00525FAB"/>
    <w:rsid w:val="00530C6A"/>
    <w:rsid w:val="005427CD"/>
    <w:rsid w:val="00550FBD"/>
    <w:rsid w:val="005549CF"/>
    <w:rsid w:val="00564475"/>
    <w:rsid w:val="00570446"/>
    <w:rsid w:val="00572C3A"/>
    <w:rsid w:val="00580DE7"/>
    <w:rsid w:val="00582341"/>
    <w:rsid w:val="005847C2"/>
    <w:rsid w:val="00587F20"/>
    <w:rsid w:val="00592E9A"/>
    <w:rsid w:val="00597B40"/>
    <w:rsid w:val="005A18BF"/>
    <w:rsid w:val="005A35EF"/>
    <w:rsid w:val="005A6F57"/>
    <w:rsid w:val="005B6731"/>
    <w:rsid w:val="005C1000"/>
    <w:rsid w:val="005C145A"/>
    <w:rsid w:val="005C46BA"/>
    <w:rsid w:val="005D371C"/>
    <w:rsid w:val="005E2F0B"/>
    <w:rsid w:val="00604C6B"/>
    <w:rsid w:val="00607485"/>
    <w:rsid w:val="006209BC"/>
    <w:rsid w:val="006322B8"/>
    <w:rsid w:val="00643561"/>
    <w:rsid w:val="00644C14"/>
    <w:rsid w:val="006471F5"/>
    <w:rsid w:val="00653F37"/>
    <w:rsid w:val="00663DE7"/>
    <w:rsid w:val="00671182"/>
    <w:rsid w:val="00672CDF"/>
    <w:rsid w:val="00680B5F"/>
    <w:rsid w:val="00681E65"/>
    <w:rsid w:val="00683BD8"/>
    <w:rsid w:val="00686825"/>
    <w:rsid w:val="00696B84"/>
    <w:rsid w:val="006A339E"/>
    <w:rsid w:val="006D4054"/>
    <w:rsid w:val="006D711B"/>
    <w:rsid w:val="006D7E4A"/>
    <w:rsid w:val="006E2D7D"/>
    <w:rsid w:val="006F4A1C"/>
    <w:rsid w:val="00711BD4"/>
    <w:rsid w:val="00713DED"/>
    <w:rsid w:val="00724D07"/>
    <w:rsid w:val="00724DEF"/>
    <w:rsid w:val="00733210"/>
    <w:rsid w:val="007361E3"/>
    <w:rsid w:val="007526AC"/>
    <w:rsid w:val="007566B6"/>
    <w:rsid w:val="007569A5"/>
    <w:rsid w:val="00761FFD"/>
    <w:rsid w:val="00764FE9"/>
    <w:rsid w:val="00784BCB"/>
    <w:rsid w:val="0078798C"/>
    <w:rsid w:val="00794AD2"/>
    <w:rsid w:val="007970B2"/>
    <w:rsid w:val="007A27F3"/>
    <w:rsid w:val="007A647C"/>
    <w:rsid w:val="007A76CE"/>
    <w:rsid w:val="007B6BFF"/>
    <w:rsid w:val="007C3D37"/>
    <w:rsid w:val="007D16FA"/>
    <w:rsid w:val="007D548B"/>
    <w:rsid w:val="007D76BB"/>
    <w:rsid w:val="007E18A6"/>
    <w:rsid w:val="008074BF"/>
    <w:rsid w:val="008177A8"/>
    <w:rsid w:val="00845D6B"/>
    <w:rsid w:val="008543A8"/>
    <w:rsid w:val="00854689"/>
    <w:rsid w:val="0085649F"/>
    <w:rsid w:val="008704E6"/>
    <w:rsid w:val="0087408B"/>
    <w:rsid w:val="008839A2"/>
    <w:rsid w:val="0088517C"/>
    <w:rsid w:val="00897888"/>
    <w:rsid w:val="008A37A6"/>
    <w:rsid w:val="008B1D69"/>
    <w:rsid w:val="008B2747"/>
    <w:rsid w:val="008C0CE5"/>
    <w:rsid w:val="008C2492"/>
    <w:rsid w:val="008C7253"/>
    <w:rsid w:val="008D3595"/>
    <w:rsid w:val="008D4BA3"/>
    <w:rsid w:val="008E7D17"/>
    <w:rsid w:val="008F6925"/>
    <w:rsid w:val="008F6F65"/>
    <w:rsid w:val="00901A2A"/>
    <w:rsid w:val="00901EA9"/>
    <w:rsid w:val="00904A8D"/>
    <w:rsid w:val="00904B01"/>
    <w:rsid w:val="00912D0D"/>
    <w:rsid w:val="00924EB9"/>
    <w:rsid w:val="009441C7"/>
    <w:rsid w:val="00950F3B"/>
    <w:rsid w:val="0095355D"/>
    <w:rsid w:val="0095398C"/>
    <w:rsid w:val="009554C6"/>
    <w:rsid w:val="009572E5"/>
    <w:rsid w:val="00957EC7"/>
    <w:rsid w:val="009650E1"/>
    <w:rsid w:val="009667C5"/>
    <w:rsid w:val="009667E9"/>
    <w:rsid w:val="00973896"/>
    <w:rsid w:val="00974BB9"/>
    <w:rsid w:val="00976028"/>
    <w:rsid w:val="009762DB"/>
    <w:rsid w:val="009771D4"/>
    <w:rsid w:val="00984B5A"/>
    <w:rsid w:val="009929BF"/>
    <w:rsid w:val="00994A67"/>
    <w:rsid w:val="009A1477"/>
    <w:rsid w:val="009A40A9"/>
    <w:rsid w:val="009A442E"/>
    <w:rsid w:val="009A5A5B"/>
    <w:rsid w:val="009B14E1"/>
    <w:rsid w:val="009B37FF"/>
    <w:rsid w:val="009B3DC1"/>
    <w:rsid w:val="009B3F86"/>
    <w:rsid w:val="009E4340"/>
    <w:rsid w:val="009F09E4"/>
    <w:rsid w:val="009F4D56"/>
    <w:rsid w:val="009F7BE8"/>
    <w:rsid w:val="00A112D7"/>
    <w:rsid w:val="00A26786"/>
    <w:rsid w:val="00A2692E"/>
    <w:rsid w:val="00A26B18"/>
    <w:rsid w:val="00A37025"/>
    <w:rsid w:val="00A610B3"/>
    <w:rsid w:val="00A61F61"/>
    <w:rsid w:val="00A61FF3"/>
    <w:rsid w:val="00A66555"/>
    <w:rsid w:val="00A76875"/>
    <w:rsid w:val="00A82255"/>
    <w:rsid w:val="00A87FA9"/>
    <w:rsid w:val="00A90509"/>
    <w:rsid w:val="00AA199E"/>
    <w:rsid w:val="00AA24F9"/>
    <w:rsid w:val="00AA6869"/>
    <w:rsid w:val="00AC6787"/>
    <w:rsid w:val="00AD34A6"/>
    <w:rsid w:val="00AD3C1F"/>
    <w:rsid w:val="00AD3F1E"/>
    <w:rsid w:val="00AF4704"/>
    <w:rsid w:val="00B104BE"/>
    <w:rsid w:val="00B176B0"/>
    <w:rsid w:val="00B31368"/>
    <w:rsid w:val="00B431E4"/>
    <w:rsid w:val="00B43AD2"/>
    <w:rsid w:val="00B52B92"/>
    <w:rsid w:val="00B534C0"/>
    <w:rsid w:val="00B546F6"/>
    <w:rsid w:val="00B56C5A"/>
    <w:rsid w:val="00B61DA8"/>
    <w:rsid w:val="00B762F5"/>
    <w:rsid w:val="00B85A87"/>
    <w:rsid w:val="00B941F8"/>
    <w:rsid w:val="00B943DC"/>
    <w:rsid w:val="00BA4EBA"/>
    <w:rsid w:val="00BB218E"/>
    <w:rsid w:val="00BB2686"/>
    <w:rsid w:val="00BB2FF0"/>
    <w:rsid w:val="00BB4E1A"/>
    <w:rsid w:val="00BC431A"/>
    <w:rsid w:val="00BC436B"/>
    <w:rsid w:val="00BC605B"/>
    <w:rsid w:val="00BC6C74"/>
    <w:rsid w:val="00BC7631"/>
    <w:rsid w:val="00BD2328"/>
    <w:rsid w:val="00BF0306"/>
    <w:rsid w:val="00BF20A7"/>
    <w:rsid w:val="00C00F60"/>
    <w:rsid w:val="00C128EE"/>
    <w:rsid w:val="00C1519A"/>
    <w:rsid w:val="00C169F2"/>
    <w:rsid w:val="00C2019B"/>
    <w:rsid w:val="00C2334F"/>
    <w:rsid w:val="00C24871"/>
    <w:rsid w:val="00C25F0C"/>
    <w:rsid w:val="00C26836"/>
    <w:rsid w:val="00C27B0A"/>
    <w:rsid w:val="00C51C77"/>
    <w:rsid w:val="00C54632"/>
    <w:rsid w:val="00C67F62"/>
    <w:rsid w:val="00C73472"/>
    <w:rsid w:val="00C738AA"/>
    <w:rsid w:val="00C871AB"/>
    <w:rsid w:val="00C9048B"/>
    <w:rsid w:val="00CA12E5"/>
    <w:rsid w:val="00CA1E66"/>
    <w:rsid w:val="00CC1850"/>
    <w:rsid w:val="00CE04AA"/>
    <w:rsid w:val="00CF028F"/>
    <w:rsid w:val="00CF272F"/>
    <w:rsid w:val="00CF7E04"/>
    <w:rsid w:val="00D045CE"/>
    <w:rsid w:val="00D06244"/>
    <w:rsid w:val="00D105BA"/>
    <w:rsid w:val="00D112CE"/>
    <w:rsid w:val="00D1297D"/>
    <w:rsid w:val="00D13B47"/>
    <w:rsid w:val="00D30DF0"/>
    <w:rsid w:val="00D34CB4"/>
    <w:rsid w:val="00D37D47"/>
    <w:rsid w:val="00D40974"/>
    <w:rsid w:val="00D46306"/>
    <w:rsid w:val="00D46748"/>
    <w:rsid w:val="00D54559"/>
    <w:rsid w:val="00D56828"/>
    <w:rsid w:val="00D61E3B"/>
    <w:rsid w:val="00D74F47"/>
    <w:rsid w:val="00D77692"/>
    <w:rsid w:val="00D779B7"/>
    <w:rsid w:val="00D82BA1"/>
    <w:rsid w:val="00D900DE"/>
    <w:rsid w:val="00D94D56"/>
    <w:rsid w:val="00DA121F"/>
    <w:rsid w:val="00DA5409"/>
    <w:rsid w:val="00DB287A"/>
    <w:rsid w:val="00DB5E20"/>
    <w:rsid w:val="00DC4649"/>
    <w:rsid w:val="00DD1476"/>
    <w:rsid w:val="00DE37CE"/>
    <w:rsid w:val="00DE6FB8"/>
    <w:rsid w:val="00DF26E2"/>
    <w:rsid w:val="00DF7374"/>
    <w:rsid w:val="00DF7FB6"/>
    <w:rsid w:val="00E0589F"/>
    <w:rsid w:val="00E0736B"/>
    <w:rsid w:val="00E2270D"/>
    <w:rsid w:val="00E24221"/>
    <w:rsid w:val="00E3150F"/>
    <w:rsid w:val="00E332A8"/>
    <w:rsid w:val="00E34F17"/>
    <w:rsid w:val="00E36E2A"/>
    <w:rsid w:val="00E449D2"/>
    <w:rsid w:val="00E5034B"/>
    <w:rsid w:val="00E548B6"/>
    <w:rsid w:val="00E674DA"/>
    <w:rsid w:val="00E71027"/>
    <w:rsid w:val="00E8735D"/>
    <w:rsid w:val="00E920AF"/>
    <w:rsid w:val="00EA6779"/>
    <w:rsid w:val="00EB17F5"/>
    <w:rsid w:val="00EB1FA6"/>
    <w:rsid w:val="00EB4D93"/>
    <w:rsid w:val="00EC17FC"/>
    <w:rsid w:val="00ED3147"/>
    <w:rsid w:val="00ED4DB9"/>
    <w:rsid w:val="00ED58EA"/>
    <w:rsid w:val="00EE0770"/>
    <w:rsid w:val="00EE45A9"/>
    <w:rsid w:val="00EF11E0"/>
    <w:rsid w:val="00F0466C"/>
    <w:rsid w:val="00F12ABA"/>
    <w:rsid w:val="00F354BC"/>
    <w:rsid w:val="00F41D5A"/>
    <w:rsid w:val="00F4301A"/>
    <w:rsid w:val="00F44A44"/>
    <w:rsid w:val="00F44EA8"/>
    <w:rsid w:val="00F51AB8"/>
    <w:rsid w:val="00F523E8"/>
    <w:rsid w:val="00F60F1C"/>
    <w:rsid w:val="00F65181"/>
    <w:rsid w:val="00F65D9A"/>
    <w:rsid w:val="00F716DF"/>
    <w:rsid w:val="00F7235E"/>
    <w:rsid w:val="00FB0C79"/>
    <w:rsid w:val="00FD1901"/>
    <w:rsid w:val="00FE39E5"/>
    <w:rsid w:val="00FE51E2"/>
    <w:rsid w:val="00FE531C"/>
    <w:rsid w:val="00FF1CE9"/>
    <w:rsid w:val="00FF32F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53B43"/>
  <w15:docId w15:val="{83F04BF2-1507-48B3-B2FC-DD0FF716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b/>
      <w:bCs/>
      <w:szCs w:val="20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rsid w:val="00A26B18"/>
    <w:pPr>
      <w:spacing w:after="120"/>
    </w:pPr>
  </w:style>
  <w:style w:type="paragraph" w:styleId="Footer">
    <w:name w:val="footer"/>
    <w:basedOn w:val="Normal"/>
    <w:rsid w:val="00C268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6836"/>
  </w:style>
  <w:style w:type="paragraph" w:styleId="ListParagraph">
    <w:name w:val="List Paragraph"/>
    <w:basedOn w:val="Normal"/>
    <w:uiPriority w:val="34"/>
    <w:qFormat/>
    <w:rsid w:val="00F65D9A"/>
    <w:pPr>
      <w:ind w:left="720"/>
    </w:pPr>
  </w:style>
  <w:style w:type="character" w:styleId="Emphasis">
    <w:name w:val="Emphasis"/>
    <w:uiPriority w:val="20"/>
    <w:qFormat/>
    <w:rsid w:val="00976028"/>
    <w:rPr>
      <w:i/>
      <w:iCs/>
    </w:rPr>
  </w:style>
  <w:style w:type="paragraph" w:styleId="BalloonText">
    <w:name w:val="Balloon Text"/>
    <w:basedOn w:val="Normal"/>
    <w:link w:val="BalloonTextChar"/>
    <w:rsid w:val="0099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9B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A647C"/>
    <w:rPr>
      <w:sz w:val="24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2D49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032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26AB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326AB"/>
    <w:rPr>
      <w:vertAlign w:val="superscript"/>
    </w:rPr>
  </w:style>
  <w:style w:type="paragraph" w:styleId="NoSpacing">
    <w:name w:val="No Spacing"/>
    <w:uiPriority w:val="1"/>
    <w:qFormat/>
    <w:rsid w:val="00C54632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584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r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ricia.harvey@mer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national-funding-formula-for-schools-and-high-need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DF6A-5E37-4283-91AD-C92AD7216C5B}">
  <ds:schemaRefs>
    <ds:schemaRef ds:uri="http://schemas.openxmlformats.org/package/2006/metadata/core-properties"/>
    <ds:schemaRef ds:uri="26ca0ed7-17c0-4650-b6cf-dc83e505bb1f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53E11A-CF94-49E9-BFBA-193E4AFC9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A50D2-73D5-4844-B49D-E1AAACD6D0C6}"/>
</file>

<file path=customXml/itemProps4.xml><?xml version="1.0" encoding="utf-8"?>
<ds:datastoreItem xmlns:ds="http://schemas.openxmlformats.org/officeDocument/2006/customXml" ds:itemID="{2690A276-2BA9-49B7-A374-F9CBBD9E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    October 16 2006</vt:lpstr>
    </vt:vector>
  </TitlesOfParts>
  <Company>LBM</Company>
  <LinksUpToDate>false</LinksUpToDate>
  <CharactersWithSpaces>7371</CharactersWithSpaces>
  <SharedDoc>false</SharedDoc>
  <HLinks>
    <vt:vector size="12" baseType="variant">
      <vt:variant>
        <vt:i4>6225995</vt:i4>
      </vt:variant>
      <vt:variant>
        <vt:i4>3</vt:i4>
      </vt:variant>
      <vt:variant>
        <vt:i4>0</vt:i4>
      </vt:variant>
      <vt:variant>
        <vt:i4>5</vt:i4>
      </vt:variant>
      <vt:variant>
        <vt:lpwstr>http://www.merton.gov.uk/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mailto:Zoe.Church@merton.gov.uk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   October 16 2006</dc:title>
  <dc:creator>Zoe Church</dc:creator>
  <cp:lastModifiedBy>Patricia Harvey</cp:lastModifiedBy>
  <cp:revision>7</cp:revision>
  <cp:lastPrinted>2020-03-02T14:48:00Z</cp:lastPrinted>
  <dcterms:created xsi:type="dcterms:W3CDTF">2021-09-15T13:44:00Z</dcterms:created>
  <dcterms:modified xsi:type="dcterms:W3CDTF">2021-09-20T21:30:00Z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