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8D" w:rsidRDefault="00904A8D">
      <w:pPr>
        <w:pStyle w:val="Header"/>
        <w:tabs>
          <w:tab w:val="clear" w:pos="4153"/>
          <w:tab w:val="clear" w:pos="8306"/>
        </w:tabs>
        <w:rPr>
          <w:rFonts w:ascii="Times New Roman" w:hAnsi="Times New Roman"/>
          <w:szCs w:val="24"/>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0"/>
        <w:gridCol w:w="2946"/>
      </w:tblGrid>
      <w:tr w:rsidR="00904A8D">
        <w:trPr>
          <w:trHeight w:val="680"/>
        </w:trPr>
        <w:tc>
          <w:tcPr>
            <w:tcW w:w="6440" w:type="dxa"/>
          </w:tcPr>
          <w:p w:rsidR="00904A8D" w:rsidRDefault="00904A8D">
            <w:pPr>
              <w:pStyle w:val="Header"/>
              <w:tabs>
                <w:tab w:val="clear" w:pos="4153"/>
                <w:tab w:val="clear" w:pos="8306"/>
              </w:tabs>
              <w:spacing w:after="120"/>
              <w:rPr>
                <w:b/>
                <w:sz w:val="32"/>
              </w:rPr>
            </w:pPr>
          </w:p>
          <w:p w:rsidR="00904A8D" w:rsidRDefault="009667E9" w:rsidP="00E57DF7">
            <w:pPr>
              <w:pStyle w:val="Header"/>
              <w:tabs>
                <w:tab w:val="clear" w:pos="4153"/>
                <w:tab w:val="clear" w:pos="8306"/>
              </w:tabs>
              <w:spacing w:after="120"/>
              <w:rPr>
                <w:b/>
              </w:rPr>
            </w:pPr>
            <w:r>
              <w:rPr>
                <w:b/>
                <w:sz w:val="32"/>
              </w:rPr>
              <w:t xml:space="preserve">Schools Forum    </w:t>
            </w:r>
            <w:r w:rsidR="00C738AA">
              <w:rPr>
                <w:b/>
                <w:sz w:val="32"/>
              </w:rPr>
              <w:t>3</w:t>
            </w:r>
            <w:r w:rsidR="00B546F6">
              <w:rPr>
                <w:b/>
                <w:sz w:val="32"/>
              </w:rPr>
              <w:t>1</w:t>
            </w:r>
            <w:r w:rsidR="00B546F6" w:rsidRPr="00B546F6">
              <w:rPr>
                <w:b/>
                <w:sz w:val="32"/>
                <w:vertAlign w:val="superscript"/>
              </w:rPr>
              <w:t>st</w:t>
            </w:r>
            <w:r w:rsidR="00B546F6">
              <w:rPr>
                <w:b/>
                <w:sz w:val="32"/>
              </w:rPr>
              <w:t xml:space="preserve"> </w:t>
            </w:r>
            <w:r w:rsidR="00E57DF7">
              <w:rPr>
                <w:b/>
                <w:sz w:val="32"/>
              </w:rPr>
              <w:t>January</w:t>
            </w:r>
            <w:bookmarkStart w:id="0" w:name="_GoBack"/>
            <w:bookmarkEnd w:id="0"/>
            <w:r w:rsidR="00904A8D">
              <w:rPr>
                <w:b/>
                <w:sz w:val="32"/>
              </w:rPr>
              <w:t xml:space="preserve"> 201</w:t>
            </w:r>
            <w:r w:rsidR="00B546F6">
              <w:rPr>
                <w:b/>
                <w:sz w:val="32"/>
              </w:rPr>
              <w:t>7</w:t>
            </w:r>
          </w:p>
        </w:tc>
        <w:tc>
          <w:tcPr>
            <w:tcW w:w="2946" w:type="dxa"/>
          </w:tcPr>
          <w:p w:rsidR="00904A8D" w:rsidRDefault="00904A8D">
            <w:pPr>
              <w:pStyle w:val="Header"/>
              <w:tabs>
                <w:tab w:val="clear" w:pos="4153"/>
                <w:tab w:val="clear" w:pos="8306"/>
              </w:tabs>
              <w:spacing w:before="120"/>
              <w:rPr>
                <w:sz w:val="40"/>
                <w:szCs w:val="40"/>
              </w:rPr>
            </w:pPr>
            <w:r>
              <w:t xml:space="preserve">Item </w:t>
            </w:r>
            <w:r w:rsidR="00DB5E20">
              <w:rPr>
                <w:sz w:val="40"/>
                <w:szCs w:val="40"/>
              </w:rPr>
              <w:t xml:space="preserve">   </w:t>
            </w:r>
            <w:r w:rsidR="000A4BC1">
              <w:rPr>
                <w:sz w:val="40"/>
                <w:szCs w:val="40"/>
              </w:rPr>
              <w:t>3</w:t>
            </w:r>
          </w:p>
        </w:tc>
      </w:tr>
    </w:tbl>
    <w:p w:rsidR="00904A8D" w:rsidRDefault="00904A8D">
      <w:pPr>
        <w:pStyle w:val="Header"/>
        <w:tabs>
          <w:tab w:val="clear" w:pos="4153"/>
          <w:tab w:val="clear" w:pos="8306"/>
        </w:tabs>
        <w:jc w:val="right"/>
      </w:pPr>
    </w:p>
    <w:p w:rsidR="00904A8D" w:rsidRDefault="00DB5E20">
      <w:pPr>
        <w:pStyle w:val="Header"/>
        <w:tabs>
          <w:tab w:val="clear" w:pos="4153"/>
          <w:tab w:val="clear" w:pos="8306"/>
        </w:tabs>
      </w:pPr>
      <w:r>
        <w:rPr>
          <w:b/>
        </w:rPr>
        <w:t>SUBJECT:  D</w:t>
      </w:r>
      <w:r w:rsidR="00904A8D">
        <w:rPr>
          <w:b/>
        </w:rPr>
        <w:t xml:space="preserve">SG </w:t>
      </w:r>
      <w:r>
        <w:rPr>
          <w:b/>
        </w:rPr>
        <w:t xml:space="preserve">budget monitoring report for </w:t>
      </w:r>
      <w:r w:rsidR="00B546F6">
        <w:rPr>
          <w:b/>
        </w:rPr>
        <w:t>December</w:t>
      </w:r>
      <w:r w:rsidR="007D548B">
        <w:rPr>
          <w:b/>
        </w:rPr>
        <w:t xml:space="preserve"> 201</w:t>
      </w:r>
      <w:r w:rsidR="00B546F6">
        <w:rPr>
          <w:b/>
        </w:rPr>
        <w:t>6</w:t>
      </w:r>
    </w:p>
    <w:p w:rsidR="00904A8D" w:rsidRDefault="00904A8D">
      <w:pPr>
        <w:pStyle w:val="Header"/>
        <w:tabs>
          <w:tab w:val="clear" w:pos="4153"/>
          <w:tab w:val="clear" w:pos="8306"/>
        </w:tabs>
        <w:rPr>
          <w:b/>
        </w:rPr>
      </w:pPr>
    </w:p>
    <w:p w:rsidR="00904A8D" w:rsidRDefault="00904A8D">
      <w:pPr>
        <w:pStyle w:val="Header"/>
        <w:tabs>
          <w:tab w:val="clear" w:pos="4153"/>
          <w:tab w:val="clear" w:pos="8306"/>
        </w:tabs>
      </w:pPr>
      <w:r>
        <w:rPr>
          <w:b/>
        </w:rPr>
        <w:t>LEAD OFFICER: Marius Karsten</w:t>
      </w:r>
      <w:r w:rsidR="009667E9">
        <w:rPr>
          <w:b/>
        </w:rPr>
        <w:t>-</w:t>
      </w:r>
      <w:proofErr w:type="spellStart"/>
      <w:r w:rsidR="009667E9">
        <w:rPr>
          <w:b/>
        </w:rPr>
        <w:t>Strydom</w:t>
      </w:r>
      <w:proofErr w:type="spellEnd"/>
      <w:r>
        <w:rPr>
          <w:bCs/>
        </w:rPr>
        <w:t>,</w:t>
      </w:r>
      <w:r>
        <w:t xml:space="preserve"> Children, Schools and Families Finance</w:t>
      </w:r>
    </w:p>
    <w:p w:rsidR="00904A8D" w:rsidRDefault="00904A8D">
      <w:pPr>
        <w:pStyle w:val="Header"/>
        <w:tabs>
          <w:tab w:val="clear" w:pos="4153"/>
          <w:tab w:val="clear" w:pos="8306"/>
        </w:tabs>
        <w:rPr>
          <w:b/>
        </w:rPr>
      </w:pPr>
    </w:p>
    <w:p w:rsidR="00904A8D" w:rsidRDefault="00904A8D">
      <w:pPr>
        <w:pStyle w:val="Header"/>
        <w:tabs>
          <w:tab w:val="clear" w:pos="4153"/>
          <w:tab w:val="clear" w:pos="8306"/>
        </w:tabs>
        <w:rPr>
          <w:b/>
          <w:sz w:val="28"/>
        </w:rPr>
      </w:pPr>
      <w:r>
        <w:rPr>
          <w:b/>
          <w:sz w:val="28"/>
        </w:rPr>
        <w:t xml:space="preserve">RECOMMENDATION </w:t>
      </w:r>
    </w:p>
    <w:p w:rsidR="00904A8D" w:rsidRDefault="00904A8D">
      <w:pPr>
        <w:pStyle w:val="Header"/>
        <w:tabs>
          <w:tab w:val="clear" w:pos="4153"/>
          <w:tab w:val="clear" w:pos="8306"/>
        </w:tabs>
        <w:rPr>
          <w:b/>
        </w:rPr>
      </w:pPr>
    </w:p>
    <w:p w:rsidR="00DB5E20" w:rsidRDefault="00904A8D">
      <w:pPr>
        <w:pStyle w:val="Header"/>
        <w:tabs>
          <w:tab w:val="clear" w:pos="4153"/>
          <w:tab w:val="clear" w:pos="8306"/>
        </w:tabs>
        <w:ind w:left="360"/>
        <w:rPr>
          <w:b/>
        </w:rPr>
      </w:pPr>
      <w:r>
        <w:rPr>
          <w:b/>
        </w:rPr>
        <w:t>That the Forum</w:t>
      </w:r>
      <w:r w:rsidR="00DB5E20">
        <w:rPr>
          <w:b/>
        </w:rPr>
        <w:t>:</w:t>
      </w:r>
    </w:p>
    <w:p w:rsidR="00DB5E20" w:rsidRDefault="00DB5E20" w:rsidP="00DB5E20">
      <w:pPr>
        <w:pStyle w:val="Header"/>
        <w:tabs>
          <w:tab w:val="clear" w:pos="4153"/>
          <w:tab w:val="clear" w:pos="8306"/>
        </w:tabs>
        <w:rPr>
          <w:b/>
        </w:rPr>
      </w:pPr>
    </w:p>
    <w:p w:rsidR="00DB5E20" w:rsidRDefault="00DB5E20" w:rsidP="00DB5E20">
      <w:pPr>
        <w:pStyle w:val="Header"/>
        <w:numPr>
          <w:ilvl w:val="0"/>
          <w:numId w:val="4"/>
        </w:numPr>
        <w:tabs>
          <w:tab w:val="clear" w:pos="4153"/>
          <w:tab w:val="clear" w:pos="8306"/>
        </w:tabs>
        <w:rPr>
          <w:b/>
        </w:rPr>
      </w:pPr>
      <w:r>
        <w:rPr>
          <w:b/>
        </w:rPr>
        <w:t xml:space="preserve">notes the </w:t>
      </w:r>
      <w:r w:rsidR="00C738AA">
        <w:rPr>
          <w:b/>
        </w:rPr>
        <w:t xml:space="preserve">forecast </w:t>
      </w:r>
      <w:r>
        <w:rPr>
          <w:b/>
        </w:rPr>
        <w:t xml:space="preserve">financial position of the DSG as at </w:t>
      </w:r>
      <w:r w:rsidR="00B546F6">
        <w:rPr>
          <w:b/>
        </w:rPr>
        <w:t>December</w:t>
      </w:r>
      <w:r>
        <w:rPr>
          <w:b/>
        </w:rPr>
        <w:t xml:space="preserve"> </w:t>
      </w:r>
      <w:r w:rsidR="00C738AA">
        <w:rPr>
          <w:b/>
        </w:rPr>
        <w:t>2016</w:t>
      </w:r>
      <w:r w:rsidR="00912D0D">
        <w:rPr>
          <w:b/>
        </w:rPr>
        <w:t xml:space="preserve"> </w:t>
      </w:r>
    </w:p>
    <w:p w:rsidR="00845D6B" w:rsidRDefault="00845D6B" w:rsidP="00DB5E20">
      <w:pPr>
        <w:pStyle w:val="Header"/>
        <w:numPr>
          <w:ilvl w:val="0"/>
          <w:numId w:val="4"/>
        </w:numPr>
        <w:tabs>
          <w:tab w:val="clear" w:pos="4153"/>
          <w:tab w:val="clear" w:pos="8306"/>
        </w:tabs>
        <w:rPr>
          <w:b/>
        </w:rPr>
      </w:pPr>
      <w:r>
        <w:rPr>
          <w:b/>
        </w:rPr>
        <w:t>feed</w:t>
      </w:r>
      <w:r w:rsidR="00F60F1C">
        <w:rPr>
          <w:b/>
        </w:rPr>
        <w:t>s</w:t>
      </w:r>
      <w:r>
        <w:rPr>
          <w:b/>
        </w:rPr>
        <w:t xml:space="preserve"> back on proposals highlighted in 3.1 of this report</w:t>
      </w:r>
    </w:p>
    <w:p w:rsidR="00904A8D" w:rsidRDefault="00904A8D">
      <w:pPr>
        <w:pStyle w:val="Header"/>
        <w:tabs>
          <w:tab w:val="clear" w:pos="4153"/>
          <w:tab w:val="clear" w:pos="8306"/>
        </w:tabs>
        <w:rPr>
          <w:b/>
        </w:rPr>
      </w:pPr>
    </w:p>
    <w:p w:rsidR="00904A8D" w:rsidRDefault="00904A8D">
      <w:pPr>
        <w:pStyle w:val="Header"/>
        <w:numPr>
          <w:ilvl w:val="0"/>
          <w:numId w:val="3"/>
        </w:numPr>
        <w:tabs>
          <w:tab w:val="clear" w:pos="360"/>
          <w:tab w:val="clear" w:pos="4153"/>
          <w:tab w:val="clear" w:pos="8306"/>
        </w:tabs>
        <w:ind w:left="720" w:hanging="720"/>
        <w:rPr>
          <w:b/>
          <w:sz w:val="28"/>
        </w:rPr>
      </w:pPr>
      <w:r>
        <w:rPr>
          <w:b/>
          <w:sz w:val="28"/>
        </w:rPr>
        <w:t>Purpose of report and executive summary</w:t>
      </w:r>
    </w:p>
    <w:p w:rsidR="00904A8D" w:rsidRDefault="00904A8D">
      <w:pPr>
        <w:pStyle w:val="Header"/>
        <w:tabs>
          <w:tab w:val="clear" w:pos="4153"/>
          <w:tab w:val="clear" w:pos="8306"/>
        </w:tabs>
        <w:rPr>
          <w:b/>
          <w:sz w:val="28"/>
        </w:rPr>
      </w:pPr>
    </w:p>
    <w:p w:rsidR="00F4301A" w:rsidRDefault="00904A8D" w:rsidP="0048394B">
      <w:pPr>
        <w:pStyle w:val="BodyTextIndent3"/>
        <w:ind w:hanging="720"/>
        <w:jc w:val="both"/>
        <w:rPr>
          <w:sz w:val="24"/>
          <w:szCs w:val="24"/>
        </w:rPr>
      </w:pPr>
      <w:r>
        <w:t>1.1</w:t>
      </w:r>
      <w:r>
        <w:tab/>
      </w:r>
      <w:r w:rsidR="00C871AB" w:rsidRPr="00C871AB">
        <w:rPr>
          <w:rFonts w:cs="Times New Roman"/>
          <w:sz w:val="24"/>
          <w:szCs w:val="24"/>
        </w:rPr>
        <w:t>Detailed analysis of budget</w:t>
      </w:r>
      <w:r w:rsidR="00B546F6">
        <w:rPr>
          <w:rFonts w:cs="Times New Roman"/>
          <w:sz w:val="24"/>
          <w:szCs w:val="24"/>
        </w:rPr>
        <w:t>s as at the end of December</w:t>
      </w:r>
      <w:r w:rsidR="00564475">
        <w:rPr>
          <w:rFonts w:cs="Times New Roman"/>
          <w:sz w:val="24"/>
          <w:szCs w:val="24"/>
        </w:rPr>
        <w:t xml:space="preserve"> 2016</w:t>
      </w:r>
      <w:r w:rsidR="00C871AB" w:rsidRPr="00C871AB">
        <w:rPr>
          <w:rFonts w:cs="Times New Roman"/>
          <w:sz w:val="24"/>
          <w:szCs w:val="24"/>
        </w:rPr>
        <w:t xml:space="preserve"> by departmental budget managers show a number of over and underspends th</w:t>
      </w:r>
      <w:r w:rsidR="00B546F6">
        <w:rPr>
          <w:rFonts w:cs="Times New Roman"/>
          <w:sz w:val="24"/>
          <w:szCs w:val="24"/>
        </w:rPr>
        <w:t>at combine to forecast a net over</w:t>
      </w:r>
      <w:r w:rsidR="00F65D9A">
        <w:rPr>
          <w:rFonts w:cs="Times New Roman"/>
          <w:sz w:val="24"/>
          <w:szCs w:val="24"/>
        </w:rPr>
        <w:t>spend of £</w:t>
      </w:r>
      <w:r w:rsidR="00B546F6">
        <w:rPr>
          <w:rFonts w:cs="Times New Roman"/>
          <w:sz w:val="24"/>
          <w:szCs w:val="24"/>
        </w:rPr>
        <w:t>427</w:t>
      </w:r>
      <w:r w:rsidR="007D548B">
        <w:rPr>
          <w:rFonts w:cs="Times New Roman"/>
          <w:sz w:val="24"/>
          <w:szCs w:val="24"/>
        </w:rPr>
        <w:t>k</w:t>
      </w:r>
      <w:r w:rsidR="00C871AB">
        <w:rPr>
          <w:rFonts w:cs="Times New Roman"/>
          <w:sz w:val="24"/>
          <w:szCs w:val="24"/>
        </w:rPr>
        <w:t xml:space="preserve"> as per the table</w:t>
      </w:r>
      <w:r w:rsidR="00CC1850">
        <w:rPr>
          <w:rFonts w:cs="Times New Roman"/>
          <w:sz w:val="24"/>
          <w:szCs w:val="24"/>
        </w:rPr>
        <w:t>s</w:t>
      </w:r>
      <w:r w:rsidR="00C871AB">
        <w:rPr>
          <w:rFonts w:cs="Times New Roman"/>
          <w:sz w:val="24"/>
          <w:szCs w:val="24"/>
        </w:rPr>
        <w:t xml:space="preserve"> below.</w:t>
      </w:r>
    </w:p>
    <w:p w:rsidR="00F4301A" w:rsidRDefault="00F4301A" w:rsidP="00F4301A">
      <w:pPr>
        <w:pStyle w:val="BodyTextIndent3"/>
        <w:ind w:left="0"/>
        <w:jc w:val="both"/>
        <w:rPr>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1559"/>
        <w:gridCol w:w="1558"/>
        <w:gridCol w:w="1561"/>
      </w:tblGrid>
      <w:tr w:rsidR="009762DB" w:rsidRPr="00D61E3B" w:rsidTr="00B762F5">
        <w:trPr>
          <w:cantSplit/>
        </w:trPr>
        <w:tc>
          <w:tcPr>
            <w:tcW w:w="4820" w:type="dxa"/>
            <w:vMerge w:val="restart"/>
            <w:tcBorders>
              <w:top w:val="single" w:sz="6" w:space="0" w:color="auto"/>
              <w:left w:val="single" w:sz="6" w:space="0" w:color="auto"/>
              <w:bottom w:val="single" w:sz="6" w:space="0" w:color="auto"/>
              <w:right w:val="single" w:sz="6" w:space="0" w:color="auto"/>
            </w:tcBorders>
            <w:shd w:val="clear" w:color="auto" w:fill="4F81BD" w:themeFill="accent1"/>
          </w:tcPr>
          <w:p w:rsidR="005D371C" w:rsidRDefault="005D371C" w:rsidP="00904A8D">
            <w:pPr>
              <w:ind w:left="72"/>
              <w:rPr>
                <w:rFonts w:ascii="Arial" w:hAnsi="Arial" w:cs="Arial"/>
                <w:b/>
              </w:rPr>
            </w:pPr>
          </w:p>
          <w:p w:rsidR="005D371C" w:rsidRDefault="005D371C" w:rsidP="00904A8D">
            <w:pPr>
              <w:ind w:left="72"/>
              <w:rPr>
                <w:rFonts w:ascii="Arial" w:hAnsi="Arial" w:cs="Arial"/>
                <w:b/>
              </w:rPr>
            </w:pPr>
          </w:p>
          <w:p w:rsidR="005D371C" w:rsidRDefault="005D371C" w:rsidP="00904A8D">
            <w:pPr>
              <w:ind w:left="72"/>
              <w:rPr>
                <w:rFonts w:ascii="Arial" w:hAnsi="Arial" w:cs="Arial"/>
                <w:b/>
              </w:rPr>
            </w:pPr>
          </w:p>
          <w:p w:rsidR="009762DB" w:rsidRPr="00D61E3B" w:rsidRDefault="009762DB" w:rsidP="00904A8D">
            <w:pPr>
              <w:ind w:left="72"/>
              <w:rPr>
                <w:rFonts w:ascii="Arial" w:hAnsi="Arial" w:cs="Arial"/>
                <w:b/>
              </w:rPr>
            </w:pPr>
            <w:r w:rsidRPr="00D61E3B">
              <w:rPr>
                <w:rFonts w:ascii="Arial" w:hAnsi="Arial" w:cs="Arial"/>
                <w:b/>
              </w:rPr>
              <w:t>Dedicated Schools Grant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B546F6" w:rsidP="00D61E3B">
            <w:pPr>
              <w:jc w:val="center"/>
              <w:rPr>
                <w:rFonts w:ascii="Arial" w:hAnsi="Arial" w:cs="Arial"/>
                <w:b/>
              </w:rPr>
            </w:pPr>
            <w:r>
              <w:rPr>
                <w:rFonts w:ascii="Arial" w:hAnsi="Arial" w:cs="Arial"/>
                <w:b/>
              </w:rPr>
              <w:t>2016/17</w:t>
            </w:r>
          </w:p>
          <w:p w:rsidR="009762DB" w:rsidRPr="00D61E3B" w:rsidRDefault="009762DB" w:rsidP="00D61E3B">
            <w:pPr>
              <w:jc w:val="center"/>
              <w:rPr>
                <w:rFonts w:ascii="Arial" w:hAnsi="Arial" w:cs="Arial"/>
                <w:b/>
              </w:rPr>
            </w:pPr>
            <w:r w:rsidRPr="00D61E3B">
              <w:rPr>
                <w:rFonts w:ascii="Arial" w:hAnsi="Arial" w:cs="Arial"/>
                <w:b/>
              </w:rPr>
              <w:t>Current Budget</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9762DB" w:rsidP="00D61E3B">
            <w:pPr>
              <w:tabs>
                <w:tab w:val="left" w:pos="0"/>
              </w:tabs>
              <w:jc w:val="center"/>
              <w:rPr>
                <w:rFonts w:ascii="Arial" w:hAnsi="Arial" w:cs="Arial"/>
                <w:b/>
              </w:rPr>
            </w:pPr>
            <w:r w:rsidRPr="00D61E3B">
              <w:rPr>
                <w:rFonts w:ascii="Arial" w:hAnsi="Arial" w:cs="Arial"/>
                <w:b/>
              </w:rPr>
              <w:t>Full year Forecast</w:t>
            </w:r>
          </w:p>
          <w:p w:rsidR="009762DB" w:rsidRPr="00D61E3B" w:rsidRDefault="00B546F6" w:rsidP="00564475">
            <w:pPr>
              <w:tabs>
                <w:tab w:val="left" w:pos="0"/>
                <w:tab w:val="left" w:pos="72"/>
              </w:tabs>
              <w:ind w:left="72" w:hanging="72"/>
              <w:jc w:val="center"/>
              <w:rPr>
                <w:rFonts w:ascii="Arial" w:hAnsi="Arial" w:cs="Arial"/>
                <w:b/>
              </w:rPr>
            </w:pPr>
            <w:r>
              <w:rPr>
                <w:rFonts w:ascii="Arial" w:hAnsi="Arial" w:cs="Arial"/>
                <w:b/>
              </w:rPr>
              <w:t>(as at Dec</w:t>
            </w:r>
            <w:r w:rsidR="009762DB" w:rsidRPr="00D61E3B">
              <w:rPr>
                <w:rFonts w:ascii="Arial" w:hAnsi="Arial" w:cs="Arial"/>
                <w:b/>
              </w:rPr>
              <w:t>)</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9762DB" w:rsidP="00D61E3B">
            <w:pPr>
              <w:jc w:val="center"/>
              <w:rPr>
                <w:rFonts w:ascii="Arial" w:hAnsi="Arial" w:cs="Arial"/>
                <w:b/>
              </w:rPr>
            </w:pPr>
            <w:r w:rsidRPr="00D61E3B">
              <w:rPr>
                <w:rFonts w:ascii="Arial" w:hAnsi="Arial" w:cs="Arial"/>
                <w:b/>
              </w:rPr>
              <w:t>Forecast Variance at year</w:t>
            </w:r>
            <w:r w:rsidR="00D61E3B">
              <w:rPr>
                <w:rFonts w:ascii="Arial" w:hAnsi="Arial" w:cs="Arial"/>
                <w:b/>
              </w:rPr>
              <w:t>-</w:t>
            </w:r>
            <w:r w:rsidRPr="00D61E3B">
              <w:rPr>
                <w:rFonts w:ascii="Arial" w:hAnsi="Arial" w:cs="Arial"/>
                <w:b/>
              </w:rPr>
              <w:t>end</w:t>
            </w:r>
          </w:p>
        </w:tc>
      </w:tr>
      <w:tr w:rsidR="009762DB" w:rsidRPr="00D61E3B" w:rsidTr="00B762F5">
        <w:trPr>
          <w:cantSplit/>
        </w:trPr>
        <w:tc>
          <w:tcPr>
            <w:tcW w:w="4820" w:type="dxa"/>
            <w:vMerge/>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9762DB" w:rsidP="00904A8D">
            <w:pPr>
              <w:pStyle w:val="Header"/>
              <w:tabs>
                <w:tab w:val="clear" w:pos="4153"/>
                <w:tab w:val="clear" w:pos="8306"/>
              </w:tabs>
              <w:ind w:left="72"/>
              <w:rPr>
                <w:rFonts w:cs="Arial"/>
                <w:bCs/>
              </w:rPr>
            </w:pP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9762DB" w:rsidP="00D61E3B">
            <w:pPr>
              <w:jc w:val="center"/>
              <w:rPr>
                <w:rFonts w:ascii="Arial" w:hAnsi="Arial" w:cs="Arial"/>
              </w:rPr>
            </w:pPr>
            <w:r w:rsidRPr="00D61E3B">
              <w:rPr>
                <w:rFonts w:ascii="Arial" w:hAnsi="Arial" w:cs="Arial"/>
                <w:b/>
              </w:rPr>
              <w:t>£000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9762DB" w:rsidP="00D61E3B">
            <w:pPr>
              <w:jc w:val="center"/>
              <w:rPr>
                <w:rFonts w:ascii="Arial" w:hAnsi="Arial" w:cs="Arial"/>
              </w:rPr>
            </w:pPr>
            <w:r w:rsidRPr="00D61E3B">
              <w:rPr>
                <w:rFonts w:ascii="Arial" w:hAnsi="Arial" w:cs="Arial"/>
                <w:b/>
              </w:rPr>
              <w:t>£000</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9762DB" w:rsidP="00D61E3B">
            <w:pPr>
              <w:jc w:val="center"/>
              <w:rPr>
                <w:rFonts w:ascii="Arial" w:hAnsi="Arial" w:cs="Arial"/>
              </w:rPr>
            </w:pPr>
            <w:r w:rsidRPr="00D61E3B">
              <w:rPr>
                <w:rFonts w:ascii="Arial" w:hAnsi="Arial" w:cs="Arial"/>
                <w:b/>
              </w:rPr>
              <w:t>£000</w:t>
            </w:r>
          </w:p>
        </w:tc>
      </w:tr>
      <w:tr w:rsidR="009762DB" w:rsidRPr="00D61E3B" w:rsidTr="00B762F5">
        <w:tc>
          <w:tcPr>
            <w:tcW w:w="4820" w:type="dxa"/>
            <w:tcBorders>
              <w:top w:val="single" w:sz="6" w:space="0" w:color="auto"/>
            </w:tcBorders>
          </w:tcPr>
          <w:p w:rsidR="009762DB" w:rsidRPr="00D61E3B" w:rsidRDefault="009762DB" w:rsidP="005427CD">
            <w:pPr>
              <w:pStyle w:val="Header"/>
              <w:tabs>
                <w:tab w:val="clear" w:pos="4153"/>
                <w:tab w:val="clear" w:pos="8306"/>
              </w:tabs>
              <w:rPr>
                <w:rFonts w:cs="Arial"/>
                <w:bCs/>
              </w:rPr>
            </w:pPr>
            <w:r w:rsidRPr="00D61E3B">
              <w:rPr>
                <w:rFonts w:cs="Arial"/>
                <w:bCs/>
              </w:rPr>
              <w:t xml:space="preserve">Delegated </w:t>
            </w:r>
            <w:r w:rsidR="005427CD" w:rsidRPr="00D61E3B">
              <w:rPr>
                <w:rFonts w:cs="Arial"/>
                <w:bCs/>
              </w:rPr>
              <w:t>expenditure</w:t>
            </w:r>
          </w:p>
        </w:tc>
        <w:tc>
          <w:tcPr>
            <w:tcW w:w="1559" w:type="dxa"/>
            <w:tcBorders>
              <w:top w:val="single" w:sz="6" w:space="0" w:color="auto"/>
            </w:tcBorders>
            <w:vAlign w:val="bottom"/>
          </w:tcPr>
          <w:p w:rsidR="009762DB" w:rsidRPr="00D61E3B" w:rsidRDefault="000A481E" w:rsidP="000C6058">
            <w:pPr>
              <w:jc w:val="right"/>
              <w:rPr>
                <w:rFonts w:ascii="Arial" w:hAnsi="Arial" w:cs="Arial"/>
              </w:rPr>
            </w:pPr>
            <w:r>
              <w:rPr>
                <w:rFonts w:ascii="Arial" w:hAnsi="Arial" w:cs="Arial"/>
              </w:rPr>
              <w:t>126,</w:t>
            </w:r>
            <w:r w:rsidR="00B546F6">
              <w:rPr>
                <w:rFonts w:ascii="Arial" w:hAnsi="Arial" w:cs="Arial"/>
              </w:rPr>
              <w:t>742</w:t>
            </w:r>
          </w:p>
        </w:tc>
        <w:tc>
          <w:tcPr>
            <w:tcW w:w="1558" w:type="dxa"/>
            <w:tcBorders>
              <w:top w:val="single" w:sz="6" w:space="0" w:color="auto"/>
            </w:tcBorders>
            <w:vAlign w:val="bottom"/>
          </w:tcPr>
          <w:p w:rsidR="009762DB" w:rsidRPr="00D61E3B" w:rsidRDefault="003C296D" w:rsidP="000A481E">
            <w:pPr>
              <w:jc w:val="right"/>
              <w:rPr>
                <w:rFonts w:ascii="Arial" w:hAnsi="Arial" w:cs="Arial"/>
              </w:rPr>
            </w:pPr>
            <w:r>
              <w:rPr>
                <w:rFonts w:ascii="Arial" w:hAnsi="Arial" w:cs="Arial"/>
              </w:rPr>
              <w:t>12</w:t>
            </w:r>
            <w:r w:rsidR="000A481E">
              <w:rPr>
                <w:rFonts w:ascii="Arial" w:hAnsi="Arial" w:cs="Arial"/>
              </w:rPr>
              <w:t>6</w:t>
            </w:r>
            <w:r>
              <w:rPr>
                <w:rFonts w:ascii="Arial" w:hAnsi="Arial" w:cs="Arial"/>
              </w:rPr>
              <w:t>,</w:t>
            </w:r>
            <w:r w:rsidR="00CC1850">
              <w:rPr>
                <w:rFonts w:ascii="Arial" w:hAnsi="Arial" w:cs="Arial"/>
              </w:rPr>
              <w:t>556</w:t>
            </w:r>
          </w:p>
        </w:tc>
        <w:tc>
          <w:tcPr>
            <w:tcW w:w="1561" w:type="dxa"/>
            <w:tcBorders>
              <w:top w:val="single" w:sz="6" w:space="0" w:color="auto"/>
            </w:tcBorders>
            <w:vAlign w:val="bottom"/>
          </w:tcPr>
          <w:p w:rsidR="009762DB" w:rsidRPr="00D61E3B" w:rsidRDefault="00CC1850" w:rsidP="003C296D">
            <w:pPr>
              <w:jc w:val="right"/>
              <w:rPr>
                <w:rFonts w:ascii="Arial" w:hAnsi="Arial" w:cs="Arial"/>
              </w:rPr>
            </w:pPr>
            <w:r>
              <w:rPr>
                <w:rFonts w:ascii="Arial" w:hAnsi="Arial" w:cs="Arial"/>
              </w:rPr>
              <w:t>(186</w:t>
            </w:r>
            <w:r w:rsidR="00607485" w:rsidRPr="00D61E3B">
              <w:rPr>
                <w:rFonts w:ascii="Arial" w:hAnsi="Arial" w:cs="Arial"/>
              </w:rPr>
              <w:t>)</w:t>
            </w:r>
          </w:p>
        </w:tc>
      </w:tr>
      <w:tr w:rsidR="009762DB" w:rsidRPr="00D61E3B" w:rsidTr="00D61E3B">
        <w:tc>
          <w:tcPr>
            <w:tcW w:w="4820" w:type="dxa"/>
          </w:tcPr>
          <w:p w:rsidR="009762DB" w:rsidRPr="00D61E3B" w:rsidRDefault="009762DB" w:rsidP="00F4301A">
            <w:pPr>
              <w:pStyle w:val="Header"/>
              <w:tabs>
                <w:tab w:val="clear" w:pos="4153"/>
                <w:tab w:val="clear" w:pos="8306"/>
              </w:tabs>
              <w:rPr>
                <w:rFonts w:cs="Arial"/>
                <w:bCs/>
              </w:rPr>
            </w:pPr>
            <w:r w:rsidRPr="00D61E3B">
              <w:rPr>
                <w:rFonts w:cs="Arial"/>
                <w:bCs/>
              </w:rPr>
              <w:t>Retained Items</w:t>
            </w:r>
          </w:p>
        </w:tc>
        <w:tc>
          <w:tcPr>
            <w:tcW w:w="1559" w:type="dxa"/>
            <w:vAlign w:val="bottom"/>
          </w:tcPr>
          <w:p w:rsidR="009762DB" w:rsidRPr="00D61E3B" w:rsidRDefault="00564475" w:rsidP="00904A8D">
            <w:pPr>
              <w:jc w:val="right"/>
              <w:rPr>
                <w:rFonts w:ascii="Arial" w:hAnsi="Arial" w:cs="Arial"/>
              </w:rPr>
            </w:pPr>
            <w:r>
              <w:rPr>
                <w:rFonts w:ascii="Arial" w:hAnsi="Arial" w:cs="Arial"/>
              </w:rPr>
              <w:t>1</w:t>
            </w:r>
            <w:r w:rsidR="00B546F6">
              <w:rPr>
                <w:rFonts w:ascii="Arial" w:hAnsi="Arial" w:cs="Arial"/>
              </w:rPr>
              <w:t>9,110</w:t>
            </w:r>
          </w:p>
        </w:tc>
        <w:tc>
          <w:tcPr>
            <w:tcW w:w="1558" w:type="dxa"/>
            <w:vAlign w:val="bottom"/>
          </w:tcPr>
          <w:p w:rsidR="009762DB" w:rsidRPr="00D61E3B" w:rsidRDefault="003C296D" w:rsidP="000A481E">
            <w:pPr>
              <w:jc w:val="right"/>
              <w:rPr>
                <w:rFonts w:ascii="Arial" w:hAnsi="Arial" w:cs="Arial"/>
              </w:rPr>
            </w:pPr>
            <w:r>
              <w:rPr>
                <w:rFonts w:ascii="Arial" w:hAnsi="Arial" w:cs="Arial"/>
              </w:rPr>
              <w:t>1</w:t>
            </w:r>
            <w:r w:rsidR="00B546F6">
              <w:rPr>
                <w:rFonts w:ascii="Arial" w:hAnsi="Arial" w:cs="Arial"/>
              </w:rPr>
              <w:t>9,723</w:t>
            </w:r>
          </w:p>
        </w:tc>
        <w:tc>
          <w:tcPr>
            <w:tcW w:w="1561" w:type="dxa"/>
            <w:vAlign w:val="bottom"/>
          </w:tcPr>
          <w:p w:rsidR="009762DB" w:rsidRPr="00D61E3B" w:rsidRDefault="00CC1850" w:rsidP="00F65D9A">
            <w:pPr>
              <w:jc w:val="right"/>
              <w:rPr>
                <w:rFonts w:ascii="Arial" w:hAnsi="Arial" w:cs="Arial"/>
              </w:rPr>
            </w:pPr>
            <w:r>
              <w:rPr>
                <w:rFonts w:ascii="Arial" w:hAnsi="Arial" w:cs="Arial"/>
              </w:rPr>
              <w:t>613</w:t>
            </w:r>
          </w:p>
        </w:tc>
      </w:tr>
      <w:tr w:rsidR="009762DB" w:rsidRPr="00D61E3B" w:rsidTr="00B762F5">
        <w:tc>
          <w:tcPr>
            <w:tcW w:w="4820" w:type="dxa"/>
            <w:tcBorders>
              <w:bottom w:val="single" w:sz="6" w:space="0" w:color="auto"/>
            </w:tcBorders>
          </w:tcPr>
          <w:p w:rsidR="009762DB" w:rsidRPr="00D61E3B" w:rsidRDefault="005427CD" w:rsidP="005427CD">
            <w:pPr>
              <w:pStyle w:val="Header"/>
              <w:tabs>
                <w:tab w:val="clear" w:pos="4153"/>
                <w:tab w:val="clear" w:pos="8306"/>
              </w:tabs>
              <w:rPr>
                <w:rFonts w:cs="Arial"/>
              </w:rPr>
            </w:pPr>
            <w:r w:rsidRPr="00D61E3B">
              <w:rPr>
                <w:rFonts w:cs="Arial"/>
              </w:rPr>
              <w:t>Income</w:t>
            </w:r>
          </w:p>
        </w:tc>
        <w:tc>
          <w:tcPr>
            <w:tcW w:w="1559" w:type="dxa"/>
            <w:tcBorders>
              <w:bottom w:val="single" w:sz="6" w:space="0" w:color="auto"/>
            </w:tcBorders>
            <w:vAlign w:val="bottom"/>
          </w:tcPr>
          <w:p w:rsidR="009762DB" w:rsidRPr="00D61E3B" w:rsidRDefault="00607485" w:rsidP="000A481E">
            <w:pPr>
              <w:jc w:val="right"/>
              <w:rPr>
                <w:rFonts w:ascii="Arial" w:hAnsi="Arial" w:cs="Arial"/>
              </w:rPr>
            </w:pPr>
            <w:r w:rsidRPr="00D61E3B">
              <w:rPr>
                <w:rFonts w:ascii="Arial" w:hAnsi="Arial" w:cs="Arial"/>
              </w:rPr>
              <w:t>(</w:t>
            </w:r>
            <w:r w:rsidR="00B546F6">
              <w:rPr>
                <w:rFonts w:ascii="Arial" w:hAnsi="Arial" w:cs="Arial"/>
              </w:rPr>
              <w:t>145,852</w:t>
            </w:r>
            <w:r w:rsidRPr="00D61E3B">
              <w:rPr>
                <w:rFonts w:ascii="Arial" w:hAnsi="Arial" w:cs="Arial"/>
              </w:rPr>
              <w:t>)</w:t>
            </w:r>
          </w:p>
        </w:tc>
        <w:tc>
          <w:tcPr>
            <w:tcW w:w="1558" w:type="dxa"/>
            <w:tcBorders>
              <w:bottom w:val="single" w:sz="6" w:space="0" w:color="auto"/>
            </w:tcBorders>
            <w:vAlign w:val="bottom"/>
          </w:tcPr>
          <w:p w:rsidR="009762DB" w:rsidRPr="00D61E3B" w:rsidRDefault="00607485" w:rsidP="000A481E">
            <w:pPr>
              <w:jc w:val="right"/>
              <w:rPr>
                <w:rFonts w:ascii="Arial" w:hAnsi="Arial" w:cs="Arial"/>
              </w:rPr>
            </w:pPr>
            <w:r w:rsidRPr="00D61E3B">
              <w:rPr>
                <w:rFonts w:ascii="Arial" w:hAnsi="Arial" w:cs="Arial"/>
              </w:rPr>
              <w:t>(</w:t>
            </w:r>
            <w:r w:rsidR="003C296D">
              <w:rPr>
                <w:rFonts w:ascii="Arial" w:hAnsi="Arial" w:cs="Arial"/>
              </w:rPr>
              <w:t>14</w:t>
            </w:r>
            <w:r w:rsidR="00B546F6">
              <w:rPr>
                <w:rFonts w:ascii="Arial" w:hAnsi="Arial" w:cs="Arial"/>
              </w:rPr>
              <w:t>5,852</w:t>
            </w:r>
            <w:r w:rsidRPr="00D61E3B">
              <w:rPr>
                <w:rFonts w:ascii="Arial" w:hAnsi="Arial" w:cs="Arial"/>
              </w:rPr>
              <w:t>)</w:t>
            </w:r>
          </w:p>
        </w:tc>
        <w:tc>
          <w:tcPr>
            <w:tcW w:w="1561" w:type="dxa"/>
            <w:tcBorders>
              <w:bottom w:val="single" w:sz="6" w:space="0" w:color="auto"/>
            </w:tcBorders>
            <w:vAlign w:val="bottom"/>
          </w:tcPr>
          <w:p w:rsidR="009762DB" w:rsidRPr="00D61E3B" w:rsidRDefault="00607485" w:rsidP="00904A8D">
            <w:pPr>
              <w:jc w:val="right"/>
              <w:rPr>
                <w:rFonts w:ascii="Arial" w:hAnsi="Arial" w:cs="Arial"/>
              </w:rPr>
            </w:pPr>
            <w:r w:rsidRPr="00D61E3B">
              <w:rPr>
                <w:rFonts w:ascii="Arial" w:hAnsi="Arial" w:cs="Arial"/>
              </w:rPr>
              <w:t>0</w:t>
            </w:r>
          </w:p>
        </w:tc>
      </w:tr>
      <w:tr w:rsidR="009762DB" w:rsidRPr="00D61E3B" w:rsidTr="00B762F5">
        <w:tc>
          <w:tcPr>
            <w:tcW w:w="4820" w:type="dxa"/>
            <w:tcBorders>
              <w:top w:val="single" w:sz="6" w:space="0" w:color="auto"/>
              <w:left w:val="single" w:sz="6" w:space="0" w:color="auto"/>
              <w:bottom w:val="single" w:sz="6" w:space="0" w:color="auto"/>
              <w:right w:val="single" w:sz="6" w:space="0" w:color="auto"/>
            </w:tcBorders>
            <w:shd w:val="clear" w:color="auto" w:fill="4F81BD" w:themeFill="accent1"/>
          </w:tcPr>
          <w:p w:rsidR="009762DB" w:rsidRPr="00D61E3B" w:rsidRDefault="009762DB" w:rsidP="005427CD">
            <w:pPr>
              <w:pStyle w:val="Header"/>
              <w:tabs>
                <w:tab w:val="clear" w:pos="4153"/>
                <w:tab w:val="clear" w:pos="8306"/>
              </w:tabs>
              <w:rPr>
                <w:rFonts w:cs="Arial"/>
                <w:b/>
              </w:rPr>
            </w:pPr>
            <w:r w:rsidRPr="00D61E3B">
              <w:rPr>
                <w:rFonts w:cs="Arial"/>
                <w:b/>
              </w:rPr>
              <w:t xml:space="preserve">Total </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607485" w:rsidP="00904A8D">
            <w:pPr>
              <w:jc w:val="right"/>
              <w:rPr>
                <w:rFonts w:ascii="Arial" w:hAnsi="Arial" w:cs="Arial"/>
                <w:b/>
              </w:rPr>
            </w:pPr>
            <w:r w:rsidRPr="00D61E3B">
              <w:rPr>
                <w:rFonts w:ascii="Arial" w:hAnsi="Arial" w:cs="Arial"/>
                <w:b/>
              </w:rPr>
              <w:t>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CC1850" w:rsidP="000A481E">
            <w:pPr>
              <w:jc w:val="right"/>
              <w:rPr>
                <w:rFonts w:ascii="Arial" w:hAnsi="Arial" w:cs="Arial"/>
                <w:b/>
              </w:rPr>
            </w:pPr>
            <w:r>
              <w:rPr>
                <w:rFonts w:ascii="Arial" w:hAnsi="Arial" w:cs="Arial"/>
                <w:b/>
              </w:rPr>
              <w:t>427</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9762DB" w:rsidRPr="00D61E3B" w:rsidRDefault="00CC1850" w:rsidP="000A481E">
            <w:pPr>
              <w:jc w:val="right"/>
              <w:rPr>
                <w:rFonts w:ascii="Arial" w:hAnsi="Arial" w:cs="Arial"/>
                <w:b/>
              </w:rPr>
            </w:pPr>
            <w:r>
              <w:rPr>
                <w:rFonts w:ascii="Arial" w:hAnsi="Arial" w:cs="Arial"/>
                <w:b/>
              </w:rPr>
              <w:t>427</w:t>
            </w:r>
          </w:p>
        </w:tc>
      </w:tr>
    </w:tbl>
    <w:p w:rsidR="00F4301A" w:rsidRDefault="00F4301A" w:rsidP="00F4301A">
      <w:pPr>
        <w:pStyle w:val="BodyTextIndent3"/>
        <w:ind w:left="0"/>
        <w:jc w:val="both"/>
        <w:rPr>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559"/>
        <w:gridCol w:w="1559"/>
        <w:gridCol w:w="1558"/>
        <w:gridCol w:w="1561"/>
      </w:tblGrid>
      <w:tr w:rsidR="005D371C" w:rsidRPr="00D61E3B" w:rsidTr="00B762F5">
        <w:trPr>
          <w:cantSplit/>
        </w:trPr>
        <w:tc>
          <w:tcPr>
            <w:tcW w:w="3261" w:type="dxa"/>
            <w:vMerge w:val="restart"/>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ind w:left="72"/>
              <w:rPr>
                <w:rFonts w:ascii="Arial" w:hAnsi="Arial" w:cs="Arial"/>
                <w:b/>
              </w:rPr>
            </w:pPr>
            <w:r w:rsidRPr="00D61E3B">
              <w:rPr>
                <w:rFonts w:ascii="Arial" w:hAnsi="Arial" w:cs="Arial"/>
                <w:b/>
              </w:rPr>
              <w:t>Dedicated Schools Grant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jc w:val="center"/>
              <w:rPr>
                <w:rFonts w:ascii="Arial" w:hAnsi="Arial" w:cs="Arial"/>
                <w:b/>
              </w:rPr>
            </w:pPr>
            <w:r>
              <w:rPr>
                <w:rFonts w:ascii="Arial" w:hAnsi="Arial" w:cs="Arial"/>
                <w:b/>
              </w:rPr>
              <w:t>Schools Block</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jc w:val="center"/>
              <w:rPr>
                <w:rFonts w:ascii="Arial" w:hAnsi="Arial" w:cs="Arial"/>
                <w:b/>
              </w:rPr>
            </w:pPr>
            <w:r>
              <w:rPr>
                <w:rFonts w:ascii="Arial" w:hAnsi="Arial" w:cs="Arial"/>
                <w:b/>
              </w:rPr>
              <w:t>High Needs Block</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tabs>
                <w:tab w:val="left" w:pos="0"/>
                <w:tab w:val="left" w:pos="72"/>
              </w:tabs>
              <w:ind w:left="72" w:hanging="72"/>
              <w:jc w:val="center"/>
              <w:rPr>
                <w:rFonts w:ascii="Arial" w:hAnsi="Arial" w:cs="Arial"/>
                <w:b/>
              </w:rPr>
            </w:pPr>
            <w:r>
              <w:rPr>
                <w:rFonts w:ascii="Arial" w:hAnsi="Arial" w:cs="Arial"/>
                <w:b/>
              </w:rPr>
              <w:t>Early Years Block</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D371C">
            <w:pPr>
              <w:jc w:val="center"/>
              <w:rPr>
                <w:rFonts w:ascii="Arial" w:hAnsi="Arial" w:cs="Arial"/>
                <w:b/>
              </w:rPr>
            </w:pPr>
            <w:r>
              <w:rPr>
                <w:rFonts w:ascii="Arial" w:hAnsi="Arial" w:cs="Arial"/>
                <w:b/>
              </w:rPr>
              <w:t>Total all Blocks</w:t>
            </w:r>
          </w:p>
        </w:tc>
      </w:tr>
      <w:tr w:rsidR="005D371C" w:rsidRPr="00D61E3B" w:rsidTr="00B762F5">
        <w:trPr>
          <w:cantSplit/>
        </w:trPr>
        <w:tc>
          <w:tcPr>
            <w:tcW w:w="3261" w:type="dxa"/>
            <w:vMerge/>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pStyle w:val="Header"/>
              <w:tabs>
                <w:tab w:val="clear" w:pos="4153"/>
                <w:tab w:val="clear" w:pos="8306"/>
              </w:tabs>
              <w:ind w:left="72"/>
              <w:rPr>
                <w:rFonts w:cs="Arial"/>
                <w:bCs/>
              </w:rPr>
            </w:pP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C46BA">
            <w:pPr>
              <w:jc w:val="center"/>
              <w:rPr>
                <w:rFonts w:ascii="Arial" w:hAnsi="Arial" w:cs="Arial"/>
              </w:rPr>
            </w:pPr>
            <w:r w:rsidRPr="00D61E3B">
              <w:rPr>
                <w:rFonts w:ascii="Arial" w:hAnsi="Arial" w:cs="Arial"/>
                <w:b/>
              </w:rPr>
              <w:t>£000</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C46BA">
            <w:pPr>
              <w:jc w:val="center"/>
              <w:rPr>
                <w:rFonts w:ascii="Arial" w:hAnsi="Arial" w:cs="Arial"/>
              </w:rPr>
            </w:pPr>
            <w:r w:rsidRPr="00D61E3B">
              <w:rPr>
                <w:rFonts w:ascii="Arial" w:hAnsi="Arial" w:cs="Arial"/>
                <w:b/>
              </w:rPr>
              <w:t>£000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C46BA">
            <w:pPr>
              <w:jc w:val="center"/>
              <w:rPr>
                <w:rFonts w:ascii="Arial" w:hAnsi="Arial" w:cs="Arial"/>
              </w:rPr>
            </w:pPr>
            <w:r w:rsidRPr="00D61E3B">
              <w:rPr>
                <w:rFonts w:ascii="Arial" w:hAnsi="Arial" w:cs="Arial"/>
                <w:b/>
              </w:rPr>
              <w:t>£000</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C46BA">
            <w:pPr>
              <w:jc w:val="center"/>
              <w:rPr>
                <w:rFonts w:ascii="Arial" w:hAnsi="Arial" w:cs="Arial"/>
              </w:rPr>
            </w:pPr>
            <w:r w:rsidRPr="00D61E3B">
              <w:rPr>
                <w:rFonts w:ascii="Arial" w:hAnsi="Arial" w:cs="Arial"/>
                <w:b/>
              </w:rPr>
              <w:t>£000</w:t>
            </w:r>
          </w:p>
        </w:tc>
      </w:tr>
      <w:tr w:rsidR="005D371C" w:rsidRPr="00D61E3B" w:rsidTr="00B762F5">
        <w:tc>
          <w:tcPr>
            <w:tcW w:w="3261" w:type="dxa"/>
            <w:tcBorders>
              <w:top w:val="single" w:sz="6" w:space="0" w:color="auto"/>
            </w:tcBorders>
          </w:tcPr>
          <w:p w:rsidR="005D371C" w:rsidRPr="00D61E3B" w:rsidRDefault="005D371C" w:rsidP="005C46BA">
            <w:pPr>
              <w:pStyle w:val="Header"/>
              <w:tabs>
                <w:tab w:val="clear" w:pos="4153"/>
                <w:tab w:val="clear" w:pos="8306"/>
              </w:tabs>
              <w:rPr>
                <w:rFonts w:cs="Arial"/>
                <w:bCs/>
              </w:rPr>
            </w:pPr>
            <w:r w:rsidRPr="00D61E3B">
              <w:rPr>
                <w:rFonts w:cs="Arial"/>
                <w:bCs/>
              </w:rPr>
              <w:t>Delegated expenditure</w:t>
            </w:r>
          </w:p>
        </w:tc>
        <w:tc>
          <w:tcPr>
            <w:tcW w:w="1559" w:type="dxa"/>
            <w:tcBorders>
              <w:top w:val="single" w:sz="6" w:space="0" w:color="auto"/>
            </w:tcBorders>
            <w:vAlign w:val="bottom"/>
          </w:tcPr>
          <w:p w:rsidR="005D371C" w:rsidRPr="00D61E3B" w:rsidRDefault="00CC1850" w:rsidP="00CC1850">
            <w:pPr>
              <w:jc w:val="right"/>
              <w:rPr>
                <w:rFonts w:ascii="Arial" w:hAnsi="Arial" w:cs="Arial"/>
              </w:rPr>
            </w:pPr>
            <w:r>
              <w:rPr>
                <w:rFonts w:ascii="Arial" w:hAnsi="Arial" w:cs="Arial"/>
              </w:rPr>
              <w:t>(131)</w:t>
            </w:r>
          </w:p>
        </w:tc>
        <w:tc>
          <w:tcPr>
            <w:tcW w:w="1559" w:type="dxa"/>
            <w:tcBorders>
              <w:top w:val="single" w:sz="6" w:space="0" w:color="auto"/>
            </w:tcBorders>
            <w:vAlign w:val="bottom"/>
          </w:tcPr>
          <w:p w:rsidR="005D371C" w:rsidRPr="00D61E3B" w:rsidRDefault="00CC1850" w:rsidP="00CC1850">
            <w:pPr>
              <w:jc w:val="right"/>
              <w:rPr>
                <w:rFonts w:ascii="Arial" w:hAnsi="Arial" w:cs="Arial"/>
              </w:rPr>
            </w:pPr>
            <w:r>
              <w:rPr>
                <w:rFonts w:ascii="Arial" w:hAnsi="Arial" w:cs="Arial"/>
              </w:rPr>
              <w:t>70</w:t>
            </w:r>
          </w:p>
        </w:tc>
        <w:tc>
          <w:tcPr>
            <w:tcW w:w="1558" w:type="dxa"/>
            <w:tcBorders>
              <w:top w:val="single" w:sz="6" w:space="0" w:color="auto"/>
            </w:tcBorders>
            <w:vAlign w:val="bottom"/>
          </w:tcPr>
          <w:p w:rsidR="005D371C" w:rsidRPr="00D61E3B" w:rsidRDefault="00CC1850" w:rsidP="00CC1850">
            <w:pPr>
              <w:jc w:val="right"/>
              <w:rPr>
                <w:rFonts w:ascii="Arial" w:hAnsi="Arial" w:cs="Arial"/>
              </w:rPr>
            </w:pPr>
            <w:r>
              <w:rPr>
                <w:rFonts w:ascii="Arial" w:hAnsi="Arial" w:cs="Arial"/>
              </w:rPr>
              <w:t>(125)</w:t>
            </w:r>
          </w:p>
        </w:tc>
        <w:tc>
          <w:tcPr>
            <w:tcW w:w="1561" w:type="dxa"/>
            <w:tcBorders>
              <w:top w:val="single" w:sz="6" w:space="0" w:color="auto"/>
            </w:tcBorders>
            <w:vAlign w:val="bottom"/>
          </w:tcPr>
          <w:p w:rsidR="005D371C" w:rsidRPr="00D61E3B" w:rsidRDefault="005D371C" w:rsidP="000A481E">
            <w:pPr>
              <w:jc w:val="right"/>
              <w:rPr>
                <w:rFonts w:ascii="Arial" w:hAnsi="Arial" w:cs="Arial"/>
              </w:rPr>
            </w:pPr>
            <w:r w:rsidRPr="00D61E3B">
              <w:rPr>
                <w:rFonts w:ascii="Arial" w:hAnsi="Arial" w:cs="Arial"/>
              </w:rPr>
              <w:t>(1</w:t>
            </w:r>
            <w:r w:rsidR="00CC1850">
              <w:rPr>
                <w:rFonts w:ascii="Arial" w:hAnsi="Arial" w:cs="Arial"/>
              </w:rPr>
              <w:t>86</w:t>
            </w:r>
            <w:r w:rsidRPr="00D61E3B">
              <w:rPr>
                <w:rFonts w:ascii="Arial" w:hAnsi="Arial" w:cs="Arial"/>
              </w:rPr>
              <w:t>)</w:t>
            </w:r>
          </w:p>
        </w:tc>
      </w:tr>
      <w:tr w:rsidR="000A481E" w:rsidRPr="00D61E3B" w:rsidTr="00B762F5">
        <w:tc>
          <w:tcPr>
            <w:tcW w:w="3261" w:type="dxa"/>
            <w:tcBorders>
              <w:bottom w:val="single" w:sz="6" w:space="0" w:color="auto"/>
            </w:tcBorders>
          </w:tcPr>
          <w:p w:rsidR="000A481E" w:rsidRPr="00D61E3B" w:rsidRDefault="000A481E" w:rsidP="005C46BA">
            <w:pPr>
              <w:pStyle w:val="Header"/>
              <w:tabs>
                <w:tab w:val="clear" w:pos="4153"/>
                <w:tab w:val="clear" w:pos="8306"/>
              </w:tabs>
              <w:rPr>
                <w:rFonts w:cs="Arial"/>
                <w:bCs/>
              </w:rPr>
            </w:pPr>
            <w:r w:rsidRPr="00D61E3B">
              <w:rPr>
                <w:rFonts w:cs="Arial"/>
                <w:bCs/>
              </w:rPr>
              <w:t>Retained Items</w:t>
            </w:r>
          </w:p>
        </w:tc>
        <w:tc>
          <w:tcPr>
            <w:tcW w:w="1559" w:type="dxa"/>
            <w:tcBorders>
              <w:bottom w:val="single" w:sz="6" w:space="0" w:color="auto"/>
            </w:tcBorders>
            <w:vAlign w:val="bottom"/>
          </w:tcPr>
          <w:p w:rsidR="000A481E" w:rsidRPr="00D61E3B" w:rsidRDefault="00CC1850" w:rsidP="000A481E">
            <w:pPr>
              <w:jc w:val="right"/>
              <w:rPr>
                <w:rFonts w:ascii="Arial" w:hAnsi="Arial" w:cs="Arial"/>
              </w:rPr>
            </w:pPr>
            <w:r>
              <w:rPr>
                <w:rFonts w:ascii="Arial" w:hAnsi="Arial" w:cs="Arial"/>
              </w:rPr>
              <w:t>40</w:t>
            </w:r>
          </w:p>
        </w:tc>
        <w:tc>
          <w:tcPr>
            <w:tcW w:w="1559" w:type="dxa"/>
            <w:tcBorders>
              <w:bottom w:val="single" w:sz="6" w:space="0" w:color="auto"/>
            </w:tcBorders>
            <w:vAlign w:val="bottom"/>
          </w:tcPr>
          <w:p w:rsidR="000A481E" w:rsidRPr="00D61E3B" w:rsidRDefault="00CC1850" w:rsidP="000A481E">
            <w:pPr>
              <w:jc w:val="right"/>
              <w:rPr>
                <w:rFonts w:ascii="Arial" w:hAnsi="Arial" w:cs="Arial"/>
              </w:rPr>
            </w:pPr>
            <w:r>
              <w:rPr>
                <w:rFonts w:ascii="Arial" w:hAnsi="Arial" w:cs="Arial"/>
              </w:rPr>
              <w:t>618</w:t>
            </w:r>
          </w:p>
        </w:tc>
        <w:tc>
          <w:tcPr>
            <w:tcW w:w="1558" w:type="dxa"/>
            <w:tcBorders>
              <w:bottom w:val="single" w:sz="6" w:space="0" w:color="auto"/>
            </w:tcBorders>
            <w:vAlign w:val="bottom"/>
          </w:tcPr>
          <w:p w:rsidR="000A481E" w:rsidRPr="00D61E3B" w:rsidRDefault="00CC1850" w:rsidP="000A481E">
            <w:pPr>
              <w:jc w:val="right"/>
              <w:rPr>
                <w:rFonts w:ascii="Arial" w:hAnsi="Arial" w:cs="Arial"/>
              </w:rPr>
            </w:pPr>
            <w:r>
              <w:rPr>
                <w:rFonts w:ascii="Arial" w:hAnsi="Arial" w:cs="Arial"/>
              </w:rPr>
              <w:t>(45)</w:t>
            </w:r>
          </w:p>
        </w:tc>
        <w:tc>
          <w:tcPr>
            <w:tcW w:w="1561" w:type="dxa"/>
            <w:tcBorders>
              <w:bottom w:val="single" w:sz="6" w:space="0" w:color="auto"/>
            </w:tcBorders>
            <w:vAlign w:val="bottom"/>
          </w:tcPr>
          <w:p w:rsidR="000A481E" w:rsidRPr="00D61E3B" w:rsidRDefault="00CC1850" w:rsidP="000A481E">
            <w:pPr>
              <w:jc w:val="right"/>
              <w:rPr>
                <w:rFonts w:ascii="Arial" w:hAnsi="Arial" w:cs="Arial"/>
              </w:rPr>
            </w:pPr>
            <w:r>
              <w:rPr>
                <w:rFonts w:ascii="Arial" w:hAnsi="Arial" w:cs="Arial"/>
              </w:rPr>
              <w:t>613</w:t>
            </w:r>
          </w:p>
        </w:tc>
      </w:tr>
      <w:tr w:rsidR="005D371C" w:rsidRPr="00D61E3B" w:rsidTr="00B762F5">
        <w:tc>
          <w:tcPr>
            <w:tcW w:w="3261" w:type="dxa"/>
            <w:tcBorders>
              <w:top w:val="single" w:sz="6" w:space="0" w:color="auto"/>
              <w:left w:val="single" w:sz="6" w:space="0" w:color="auto"/>
              <w:bottom w:val="single" w:sz="6" w:space="0" w:color="auto"/>
              <w:right w:val="single" w:sz="6" w:space="0" w:color="auto"/>
            </w:tcBorders>
            <w:shd w:val="clear" w:color="auto" w:fill="4F81BD" w:themeFill="accent1"/>
          </w:tcPr>
          <w:p w:rsidR="005D371C" w:rsidRPr="00D61E3B" w:rsidRDefault="005D371C" w:rsidP="005C46BA">
            <w:pPr>
              <w:pStyle w:val="Header"/>
              <w:tabs>
                <w:tab w:val="clear" w:pos="4153"/>
                <w:tab w:val="clear" w:pos="8306"/>
              </w:tabs>
              <w:rPr>
                <w:rFonts w:cs="Arial"/>
                <w:b/>
              </w:rPr>
            </w:pPr>
            <w:r w:rsidRPr="00D61E3B">
              <w:rPr>
                <w:rFonts w:cs="Arial"/>
                <w:b/>
              </w:rPr>
              <w:t xml:space="preserve">Total </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CC1850" w:rsidP="005C46BA">
            <w:pPr>
              <w:jc w:val="right"/>
              <w:rPr>
                <w:rFonts w:ascii="Arial" w:hAnsi="Arial" w:cs="Arial"/>
                <w:b/>
              </w:rPr>
            </w:pPr>
            <w:r>
              <w:rPr>
                <w:rFonts w:ascii="Arial" w:hAnsi="Arial" w:cs="Arial"/>
                <w:b/>
              </w:rPr>
              <w:t>(91</w:t>
            </w:r>
            <w:r w:rsidR="005D371C">
              <w:rPr>
                <w:rFonts w:ascii="Arial" w:hAnsi="Arial" w:cs="Arial"/>
                <w:b/>
              </w:rPr>
              <w: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CC1850" w:rsidP="005C46BA">
            <w:pPr>
              <w:jc w:val="right"/>
              <w:rPr>
                <w:rFonts w:ascii="Arial" w:hAnsi="Arial" w:cs="Arial"/>
                <w:b/>
              </w:rPr>
            </w:pPr>
            <w:r>
              <w:rPr>
                <w:rFonts w:ascii="Arial" w:hAnsi="Arial" w:cs="Arial"/>
                <w:b/>
              </w:rPr>
              <w:t>688</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5D371C" w:rsidP="005D371C">
            <w:pPr>
              <w:jc w:val="right"/>
              <w:rPr>
                <w:rFonts w:ascii="Arial" w:hAnsi="Arial" w:cs="Arial"/>
                <w:b/>
              </w:rPr>
            </w:pPr>
            <w:r w:rsidRPr="00D61E3B">
              <w:rPr>
                <w:rFonts w:ascii="Arial" w:hAnsi="Arial" w:cs="Arial"/>
                <w:b/>
              </w:rPr>
              <w:t>(</w:t>
            </w:r>
            <w:r w:rsidR="00CC1850">
              <w:rPr>
                <w:rFonts w:ascii="Arial" w:hAnsi="Arial" w:cs="Arial"/>
                <w:b/>
              </w:rPr>
              <w:t>170</w:t>
            </w:r>
            <w:r w:rsidRPr="00D61E3B">
              <w:rPr>
                <w:rFonts w:ascii="Arial" w:hAnsi="Arial" w:cs="Arial"/>
                <w:b/>
              </w:rPr>
              <w:t>)</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D371C" w:rsidRPr="00D61E3B" w:rsidRDefault="00CC1850" w:rsidP="00CC1850">
            <w:pPr>
              <w:jc w:val="right"/>
              <w:rPr>
                <w:rFonts w:ascii="Arial" w:hAnsi="Arial" w:cs="Arial"/>
                <w:b/>
              </w:rPr>
            </w:pPr>
            <w:r>
              <w:rPr>
                <w:rFonts w:ascii="Arial" w:hAnsi="Arial" w:cs="Arial"/>
                <w:b/>
              </w:rPr>
              <w:t>427</w:t>
            </w:r>
          </w:p>
        </w:tc>
      </w:tr>
    </w:tbl>
    <w:p w:rsidR="005D371C" w:rsidRDefault="005D371C" w:rsidP="00F4301A">
      <w:pPr>
        <w:pStyle w:val="BodyTextIndent3"/>
        <w:ind w:left="0"/>
        <w:jc w:val="both"/>
        <w:rPr>
          <w:sz w:val="24"/>
          <w:szCs w:val="24"/>
        </w:rPr>
      </w:pPr>
    </w:p>
    <w:p w:rsidR="00904A8D" w:rsidRPr="00974BB9" w:rsidRDefault="0048394B" w:rsidP="00974BB9">
      <w:pPr>
        <w:pStyle w:val="BodyText"/>
        <w:ind w:left="720" w:hanging="720"/>
        <w:rPr>
          <w:rFonts w:ascii="Arial" w:hAnsi="Arial"/>
        </w:rPr>
      </w:pPr>
      <w:r w:rsidRPr="009762DB">
        <w:rPr>
          <w:rFonts w:ascii="Arial" w:hAnsi="Arial"/>
        </w:rPr>
        <w:t>1.2</w:t>
      </w:r>
      <w:r w:rsidRPr="009762DB">
        <w:rPr>
          <w:rFonts w:ascii="Arial" w:hAnsi="Arial"/>
        </w:rPr>
        <w:tab/>
      </w:r>
      <w:r w:rsidR="00A26B18" w:rsidRPr="00974BB9">
        <w:rPr>
          <w:rFonts w:ascii="Arial" w:hAnsi="Arial"/>
        </w:rPr>
        <w:t xml:space="preserve">DSG funded services are subject to strict grant conditions and </w:t>
      </w:r>
      <w:r w:rsidR="009762DB">
        <w:rPr>
          <w:rFonts w:ascii="Arial" w:hAnsi="Arial"/>
        </w:rPr>
        <w:t>are not</w:t>
      </w:r>
      <w:r w:rsidR="00A26B18" w:rsidRPr="00974BB9">
        <w:rPr>
          <w:rFonts w:ascii="Arial" w:hAnsi="Arial"/>
        </w:rPr>
        <w:t xml:space="preserve"> used by the </w:t>
      </w:r>
      <w:r w:rsidR="00974BB9" w:rsidRPr="00974BB9">
        <w:rPr>
          <w:rFonts w:ascii="Arial" w:hAnsi="Arial"/>
        </w:rPr>
        <w:t>Council for any other purposes.</w:t>
      </w:r>
    </w:p>
    <w:p w:rsidR="00904A8D" w:rsidRDefault="00904A8D">
      <w:pPr>
        <w:pStyle w:val="Header"/>
        <w:numPr>
          <w:ilvl w:val="0"/>
          <w:numId w:val="2"/>
        </w:numPr>
        <w:tabs>
          <w:tab w:val="clear" w:pos="720"/>
          <w:tab w:val="clear" w:pos="4153"/>
          <w:tab w:val="clear" w:pos="8306"/>
        </w:tabs>
        <w:ind w:hanging="720"/>
        <w:rPr>
          <w:b/>
          <w:sz w:val="28"/>
        </w:rPr>
      </w:pPr>
      <w:r>
        <w:rPr>
          <w:b/>
          <w:sz w:val="28"/>
        </w:rPr>
        <w:t>Details</w:t>
      </w:r>
    </w:p>
    <w:p w:rsidR="00D61E3B" w:rsidRDefault="00D61E3B">
      <w:pPr>
        <w:pStyle w:val="Header"/>
        <w:tabs>
          <w:tab w:val="clear" w:pos="4153"/>
          <w:tab w:val="clear" w:pos="8306"/>
        </w:tabs>
        <w:rPr>
          <w:b/>
          <w:sz w:val="28"/>
        </w:rPr>
      </w:pPr>
    </w:p>
    <w:p w:rsidR="00A37025" w:rsidRPr="005C46BA" w:rsidRDefault="00D61E3B" w:rsidP="00A37025">
      <w:pPr>
        <w:pStyle w:val="Header"/>
        <w:numPr>
          <w:ilvl w:val="1"/>
          <w:numId w:val="2"/>
        </w:numPr>
        <w:tabs>
          <w:tab w:val="clear" w:pos="4153"/>
          <w:tab w:val="clear" w:pos="8306"/>
        </w:tabs>
        <w:ind w:hanging="720"/>
      </w:pPr>
      <w:r w:rsidRPr="00E8735D">
        <w:rPr>
          <w:rFonts w:cs="Arial"/>
          <w:szCs w:val="24"/>
        </w:rPr>
        <w:t xml:space="preserve">Significant </w:t>
      </w:r>
      <w:r w:rsidR="00CC1850">
        <w:rPr>
          <w:rFonts w:cs="Arial"/>
          <w:szCs w:val="24"/>
        </w:rPr>
        <w:t xml:space="preserve">over and </w:t>
      </w:r>
      <w:r w:rsidR="009A1477" w:rsidRPr="00E8735D">
        <w:rPr>
          <w:rFonts w:cs="Arial"/>
          <w:szCs w:val="24"/>
        </w:rPr>
        <w:t>un</w:t>
      </w:r>
      <w:r w:rsidR="005C46BA">
        <w:rPr>
          <w:rFonts w:cs="Arial"/>
          <w:szCs w:val="24"/>
        </w:rPr>
        <w:t>derspends i</w:t>
      </w:r>
      <w:r w:rsidR="00CC1850">
        <w:rPr>
          <w:rFonts w:cs="Arial"/>
          <w:szCs w:val="24"/>
        </w:rPr>
        <w:t>dentified to the end of December 2016</w:t>
      </w:r>
      <w:r w:rsidRPr="00E8735D">
        <w:rPr>
          <w:rFonts w:cs="Arial"/>
          <w:szCs w:val="24"/>
        </w:rPr>
        <w:t xml:space="preserve"> are detailed in the</w:t>
      </w:r>
      <w:r w:rsidR="005C46BA">
        <w:rPr>
          <w:rFonts w:cs="Arial"/>
          <w:szCs w:val="24"/>
        </w:rPr>
        <w:t xml:space="preserve"> </w:t>
      </w:r>
      <w:r w:rsidRPr="00E8735D">
        <w:rPr>
          <w:rFonts w:cs="Arial"/>
          <w:szCs w:val="24"/>
        </w:rPr>
        <w:t>table below</w:t>
      </w:r>
      <w:r w:rsidR="005C46BA">
        <w:rPr>
          <w:rFonts w:cs="Arial"/>
          <w:szCs w:val="24"/>
        </w:rPr>
        <w:t>.</w:t>
      </w:r>
    </w:p>
    <w:p w:rsidR="005C46BA" w:rsidRDefault="005C46BA" w:rsidP="005C46BA">
      <w:pPr>
        <w:pStyle w:val="Header"/>
        <w:tabs>
          <w:tab w:val="clear" w:pos="4153"/>
          <w:tab w:val="clear" w:pos="8306"/>
        </w:tabs>
        <w:rPr>
          <w:rFonts w:cs="Arial"/>
          <w:szCs w:val="24"/>
        </w:rPr>
      </w:pPr>
    </w:p>
    <w:p w:rsidR="005C46BA" w:rsidRDefault="005C46BA" w:rsidP="005C46BA">
      <w:pPr>
        <w:pStyle w:val="Header"/>
        <w:tabs>
          <w:tab w:val="clear" w:pos="4153"/>
          <w:tab w:val="clear" w:pos="8306"/>
        </w:tabs>
        <w:rPr>
          <w:rFonts w:cs="Arial"/>
          <w:szCs w:val="24"/>
        </w:rPr>
      </w:pPr>
    </w:p>
    <w:p w:rsidR="005C46BA" w:rsidRDefault="005C46BA" w:rsidP="005C46BA">
      <w:pPr>
        <w:pStyle w:val="Header"/>
        <w:tabs>
          <w:tab w:val="clear" w:pos="4153"/>
          <w:tab w:val="clear" w:pos="8306"/>
        </w:tabs>
        <w:rPr>
          <w:rFonts w:cs="Arial"/>
          <w:szCs w:val="24"/>
        </w:rPr>
      </w:pPr>
    </w:p>
    <w:p w:rsidR="005C46BA" w:rsidRDefault="005C46BA" w:rsidP="005C46BA">
      <w:pPr>
        <w:pStyle w:val="Header"/>
        <w:tabs>
          <w:tab w:val="clear" w:pos="4153"/>
          <w:tab w:val="clear" w:pos="8306"/>
        </w:tabs>
        <w:rPr>
          <w:rFonts w:cs="Arial"/>
          <w:szCs w:val="24"/>
        </w:rPr>
      </w:pPr>
    </w:p>
    <w:p w:rsidR="005C46BA" w:rsidRPr="00D61E3B" w:rsidRDefault="005C46BA" w:rsidP="005C46BA">
      <w:pPr>
        <w:pStyle w:val="Header"/>
        <w:tabs>
          <w:tab w:val="clear" w:pos="4153"/>
          <w:tab w:val="clear" w:pos="8306"/>
        </w:tabs>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559"/>
        <w:gridCol w:w="1559"/>
        <w:gridCol w:w="1558"/>
        <w:gridCol w:w="1561"/>
      </w:tblGrid>
      <w:tr w:rsidR="005C46BA" w:rsidRPr="00D61E3B" w:rsidTr="00B762F5">
        <w:trPr>
          <w:cantSplit/>
        </w:trPr>
        <w:tc>
          <w:tcPr>
            <w:tcW w:w="3261" w:type="dxa"/>
            <w:vMerge w:val="restart"/>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ind w:left="72"/>
              <w:rPr>
                <w:rFonts w:ascii="Arial" w:hAnsi="Arial" w:cs="Arial"/>
                <w:b/>
              </w:rPr>
            </w:pPr>
            <w:r w:rsidRPr="00D61E3B">
              <w:rPr>
                <w:rFonts w:ascii="Arial" w:hAnsi="Arial" w:cs="Arial"/>
                <w:b/>
              </w:rPr>
              <w:t>Dedicated Schools Grant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jc w:val="center"/>
              <w:rPr>
                <w:rFonts w:ascii="Arial" w:hAnsi="Arial" w:cs="Arial"/>
                <w:b/>
              </w:rPr>
            </w:pPr>
            <w:r>
              <w:rPr>
                <w:rFonts w:ascii="Arial" w:hAnsi="Arial" w:cs="Arial"/>
                <w:b/>
              </w:rPr>
              <w:t>Schools Block</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jc w:val="center"/>
              <w:rPr>
                <w:rFonts w:ascii="Arial" w:hAnsi="Arial" w:cs="Arial"/>
                <w:b/>
              </w:rPr>
            </w:pPr>
            <w:r>
              <w:rPr>
                <w:rFonts w:ascii="Arial" w:hAnsi="Arial" w:cs="Arial"/>
                <w:b/>
              </w:rPr>
              <w:t>High Needs Block</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tabs>
                <w:tab w:val="left" w:pos="0"/>
                <w:tab w:val="left" w:pos="72"/>
              </w:tabs>
              <w:ind w:left="72" w:hanging="72"/>
              <w:jc w:val="center"/>
              <w:rPr>
                <w:rFonts w:ascii="Arial" w:hAnsi="Arial" w:cs="Arial"/>
                <w:b/>
              </w:rPr>
            </w:pPr>
            <w:r>
              <w:rPr>
                <w:rFonts w:ascii="Arial" w:hAnsi="Arial" w:cs="Arial"/>
                <w:b/>
              </w:rPr>
              <w:t>Early Years Block</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tcPr>
          <w:p w:rsidR="005C46BA" w:rsidRPr="00D61E3B" w:rsidRDefault="005C46BA" w:rsidP="005C46BA">
            <w:pPr>
              <w:jc w:val="center"/>
              <w:rPr>
                <w:rFonts w:ascii="Arial" w:hAnsi="Arial" w:cs="Arial"/>
                <w:b/>
              </w:rPr>
            </w:pPr>
            <w:r>
              <w:rPr>
                <w:rFonts w:ascii="Arial" w:hAnsi="Arial" w:cs="Arial"/>
                <w:b/>
              </w:rPr>
              <w:t>Total all Blocks</w:t>
            </w:r>
          </w:p>
        </w:tc>
      </w:tr>
      <w:tr w:rsidR="005C46BA" w:rsidRPr="00D61E3B" w:rsidTr="00B762F5">
        <w:trPr>
          <w:cantSplit/>
        </w:trPr>
        <w:tc>
          <w:tcPr>
            <w:tcW w:w="3261" w:type="dxa"/>
            <w:vMerge/>
            <w:tcBorders>
              <w:top w:val="single" w:sz="6" w:space="0" w:color="auto"/>
              <w:left w:val="single" w:sz="4" w:space="0" w:color="auto"/>
              <w:bottom w:val="single" w:sz="4" w:space="0" w:color="auto"/>
              <w:right w:val="single" w:sz="6" w:space="0" w:color="auto"/>
            </w:tcBorders>
            <w:shd w:val="clear" w:color="000000" w:fill="548DD4" w:themeFill="text2" w:themeFillTint="99"/>
          </w:tcPr>
          <w:p w:rsidR="005C46BA" w:rsidRPr="00D61E3B" w:rsidRDefault="005C46BA" w:rsidP="005C46BA">
            <w:pPr>
              <w:pStyle w:val="Header"/>
              <w:tabs>
                <w:tab w:val="clear" w:pos="4153"/>
                <w:tab w:val="clear" w:pos="8306"/>
              </w:tabs>
              <w:ind w:left="72"/>
              <w:rPr>
                <w:rFonts w:cs="Arial"/>
                <w:bCs/>
              </w:rPr>
            </w:pP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C46BA" w:rsidRPr="00D61E3B" w:rsidRDefault="005C46BA" w:rsidP="005C46BA">
            <w:pPr>
              <w:jc w:val="center"/>
              <w:rPr>
                <w:rFonts w:ascii="Arial" w:hAnsi="Arial" w:cs="Arial"/>
              </w:rPr>
            </w:pPr>
            <w:r w:rsidRPr="00D61E3B">
              <w:rPr>
                <w:rFonts w:ascii="Arial" w:hAnsi="Arial" w:cs="Arial"/>
                <w:b/>
              </w:rPr>
              <w:t>£000</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C46BA" w:rsidRPr="00D61E3B" w:rsidRDefault="005C46BA" w:rsidP="005C46BA">
            <w:pPr>
              <w:jc w:val="center"/>
              <w:rPr>
                <w:rFonts w:ascii="Arial" w:hAnsi="Arial" w:cs="Arial"/>
              </w:rPr>
            </w:pPr>
            <w:r w:rsidRPr="00D61E3B">
              <w:rPr>
                <w:rFonts w:ascii="Arial" w:hAnsi="Arial" w:cs="Arial"/>
                <w:b/>
              </w:rPr>
              <w:t>£000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C46BA" w:rsidRPr="00D61E3B" w:rsidRDefault="005C46BA" w:rsidP="005C46BA">
            <w:pPr>
              <w:jc w:val="center"/>
              <w:rPr>
                <w:rFonts w:ascii="Arial" w:hAnsi="Arial" w:cs="Arial"/>
              </w:rPr>
            </w:pPr>
            <w:r w:rsidRPr="00D61E3B">
              <w:rPr>
                <w:rFonts w:ascii="Arial" w:hAnsi="Arial" w:cs="Arial"/>
                <w:b/>
              </w:rPr>
              <w:t>£000</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5C46BA" w:rsidRPr="00D61E3B" w:rsidRDefault="005C46BA" w:rsidP="005C46BA">
            <w:pPr>
              <w:jc w:val="center"/>
              <w:rPr>
                <w:rFonts w:ascii="Arial" w:hAnsi="Arial" w:cs="Arial"/>
              </w:rPr>
            </w:pPr>
            <w:r w:rsidRPr="00D61E3B">
              <w:rPr>
                <w:rFonts w:ascii="Arial" w:hAnsi="Arial" w:cs="Arial"/>
                <w:b/>
              </w:rPr>
              <w:t>£000</w:t>
            </w:r>
          </w:p>
        </w:tc>
      </w:tr>
      <w:tr w:rsidR="002C3DA9" w:rsidRPr="00D61E3B" w:rsidTr="005E2F0B">
        <w:tc>
          <w:tcPr>
            <w:tcW w:w="3261" w:type="dxa"/>
            <w:tcBorders>
              <w:top w:val="single" w:sz="4" w:space="0" w:color="auto"/>
            </w:tcBorders>
          </w:tcPr>
          <w:p w:rsidR="002C3DA9" w:rsidRPr="00D61E3B" w:rsidRDefault="004B01CC" w:rsidP="005C46BA">
            <w:pPr>
              <w:pStyle w:val="Header"/>
              <w:tabs>
                <w:tab w:val="clear" w:pos="4153"/>
                <w:tab w:val="clear" w:pos="8306"/>
              </w:tabs>
              <w:rPr>
                <w:rFonts w:cs="Arial"/>
                <w:bCs/>
              </w:rPr>
            </w:pPr>
            <w:r>
              <w:rPr>
                <w:rFonts w:cs="Arial"/>
                <w:bCs/>
              </w:rPr>
              <w:t>Rate adjustments</w:t>
            </w:r>
          </w:p>
        </w:tc>
        <w:tc>
          <w:tcPr>
            <w:tcW w:w="1559" w:type="dxa"/>
            <w:tcBorders>
              <w:top w:val="single" w:sz="4" w:space="0" w:color="auto"/>
            </w:tcBorders>
          </w:tcPr>
          <w:p w:rsidR="002C3DA9" w:rsidRDefault="004B01CC" w:rsidP="004B01CC">
            <w:pPr>
              <w:jc w:val="right"/>
              <w:rPr>
                <w:rFonts w:ascii="Arial" w:hAnsi="Arial" w:cs="Arial"/>
              </w:rPr>
            </w:pPr>
            <w:r>
              <w:rPr>
                <w:rFonts w:ascii="Arial" w:hAnsi="Arial" w:cs="Arial"/>
              </w:rPr>
              <w:t>250</w:t>
            </w:r>
          </w:p>
        </w:tc>
        <w:tc>
          <w:tcPr>
            <w:tcW w:w="1559" w:type="dxa"/>
            <w:tcBorders>
              <w:top w:val="single" w:sz="4" w:space="0" w:color="auto"/>
            </w:tcBorders>
          </w:tcPr>
          <w:p w:rsidR="002C3DA9" w:rsidRDefault="002C3DA9" w:rsidP="005E2F0B">
            <w:pPr>
              <w:jc w:val="right"/>
              <w:rPr>
                <w:rFonts w:ascii="Arial" w:hAnsi="Arial" w:cs="Arial"/>
              </w:rPr>
            </w:pPr>
          </w:p>
        </w:tc>
        <w:tc>
          <w:tcPr>
            <w:tcW w:w="1558" w:type="dxa"/>
            <w:tcBorders>
              <w:top w:val="single" w:sz="4" w:space="0" w:color="auto"/>
            </w:tcBorders>
            <w:vAlign w:val="bottom"/>
          </w:tcPr>
          <w:p w:rsidR="002C3DA9" w:rsidRDefault="002C3DA9" w:rsidP="005C46BA">
            <w:pPr>
              <w:jc w:val="right"/>
              <w:rPr>
                <w:rFonts w:ascii="Arial" w:hAnsi="Arial" w:cs="Arial"/>
              </w:rPr>
            </w:pPr>
          </w:p>
        </w:tc>
        <w:tc>
          <w:tcPr>
            <w:tcW w:w="1561" w:type="dxa"/>
            <w:tcBorders>
              <w:top w:val="single" w:sz="4" w:space="0" w:color="auto"/>
            </w:tcBorders>
          </w:tcPr>
          <w:p w:rsidR="002C3DA9" w:rsidRDefault="004B01CC" w:rsidP="00B762F5">
            <w:pPr>
              <w:jc w:val="right"/>
              <w:rPr>
                <w:rFonts w:ascii="Arial" w:hAnsi="Arial" w:cs="Arial"/>
              </w:rPr>
            </w:pPr>
            <w:r>
              <w:rPr>
                <w:rFonts w:ascii="Arial" w:hAnsi="Arial" w:cs="Arial"/>
              </w:rPr>
              <w:t>250</w:t>
            </w:r>
          </w:p>
        </w:tc>
      </w:tr>
      <w:tr w:rsidR="00B43AD2" w:rsidRPr="00D61E3B" w:rsidTr="005334E3">
        <w:tc>
          <w:tcPr>
            <w:tcW w:w="3261" w:type="dxa"/>
            <w:tcBorders>
              <w:top w:val="single" w:sz="4" w:space="0" w:color="auto"/>
            </w:tcBorders>
          </w:tcPr>
          <w:p w:rsidR="00B43AD2" w:rsidRPr="00D61E3B" w:rsidRDefault="004B01CC" w:rsidP="005334E3">
            <w:pPr>
              <w:pStyle w:val="Header"/>
              <w:tabs>
                <w:tab w:val="clear" w:pos="4153"/>
                <w:tab w:val="clear" w:pos="8306"/>
              </w:tabs>
              <w:rPr>
                <w:rFonts w:cs="Arial"/>
                <w:bCs/>
              </w:rPr>
            </w:pPr>
            <w:r>
              <w:rPr>
                <w:rFonts w:cs="Arial"/>
                <w:bCs/>
              </w:rPr>
              <w:t>Bulge class funding</w:t>
            </w:r>
          </w:p>
        </w:tc>
        <w:tc>
          <w:tcPr>
            <w:tcW w:w="1559" w:type="dxa"/>
            <w:tcBorders>
              <w:top w:val="single" w:sz="4" w:space="0" w:color="auto"/>
            </w:tcBorders>
          </w:tcPr>
          <w:p w:rsidR="00B43AD2" w:rsidRDefault="004B01CC" w:rsidP="005334E3">
            <w:pPr>
              <w:jc w:val="right"/>
              <w:rPr>
                <w:rFonts w:ascii="Arial" w:hAnsi="Arial" w:cs="Arial"/>
              </w:rPr>
            </w:pPr>
            <w:r>
              <w:rPr>
                <w:rFonts w:ascii="Arial" w:hAnsi="Arial" w:cs="Arial"/>
              </w:rPr>
              <w:t>(400)</w:t>
            </w:r>
          </w:p>
        </w:tc>
        <w:tc>
          <w:tcPr>
            <w:tcW w:w="1559" w:type="dxa"/>
            <w:tcBorders>
              <w:top w:val="single" w:sz="4" w:space="0" w:color="auto"/>
            </w:tcBorders>
          </w:tcPr>
          <w:p w:rsidR="00B43AD2" w:rsidRDefault="00B43AD2" w:rsidP="005334E3">
            <w:pPr>
              <w:jc w:val="right"/>
              <w:rPr>
                <w:rFonts w:ascii="Arial" w:hAnsi="Arial" w:cs="Arial"/>
              </w:rPr>
            </w:pPr>
          </w:p>
        </w:tc>
        <w:tc>
          <w:tcPr>
            <w:tcW w:w="1558" w:type="dxa"/>
            <w:tcBorders>
              <w:top w:val="single" w:sz="4" w:space="0" w:color="auto"/>
            </w:tcBorders>
          </w:tcPr>
          <w:p w:rsidR="00B43AD2" w:rsidRDefault="00B43AD2" w:rsidP="005334E3">
            <w:pPr>
              <w:jc w:val="right"/>
              <w:rPr>
                <w:rFonts w:ascii="Arial" w:hAnsi="Arial" w:cs="Arial"/>
              </w:rPr>
            </w:pPr>
          </w:p>
        </w:tc>
        <w:tc>
          <w:tcPr>
            <w:tcW w:w="1561" w:type="dxa"/>
            <w:tcBorders>
              <w:top w:val="single" w:sz="4" w:space="0" w:color="auto"/>
            </w:tcBorders>
          </w:tcPr>
          <w:p w:rsidR="00B43AD2" w:rsidRPr="00D61E3B" w:rsidRDefault="004B01CC" w:rsidP="005334E3">
            <w:pPr>
              <w:jc w:val="right"/>
              <w:rPr>
                <w:rFonts w:ascii="Arial" w:hAnsi="Arial" w:cs="Arial"/>
              </w:rPr>
            </w:pPr>
            <w:r>
              <w:rPr>
                <w:rFonts w:ascii="Arial" w:hAnsi="Arial" w:cs="Arial"/>
              </w:rPr>
              <w:t>(400</w:t>
            </w:r>
            <w:r w:rsidR="00B43AD2">
              <w:rPr>
                <w:rFonts w:ascii="Arial" w:hAnsi="Arial" w:cs="Arial"/>
              </w:rPr>
              <w:t>)</w:t>
            </w:r>
          </w:p>
        </w:tc>
      </w:tr>
      <w:tr w:rsidR="00B43AD2" w:rsidRPr="00D61E3B" w:rsidTr="005334E3">
        <w:tc>
          <w:tcPr>
            <w:tcW w:w="3261" w:type="dxa"/>
            <w:tcBorders>
              <w:top w:val="single" w:sz="4" w:space="0" w:color="auto"/>
            </w:tcBorders>
          </w:tcPr>
          <w:p w:rsidR="00B43AD2" w:rsidRPr="00D61E3B" w:rsidRDefault="00B43AD2" w:rsidP="005C1000">
            <w:pPr>
              <w:pStyle w:val="Header"/>
              <w:tabs>
                <w:tab w:val="clear" w:pos="4153"/>
                <w:tab w:val="clear" w:pos="8306"/>
              </w:tabs>
              <w:rPr>
                <w:rFonts w:cs="Arial"/>
                <w:bCs/>
              </w:rPr>
            </w:pPr>
            <w:r>
              <w:rPr>
                <w:rFonts w:cs="Arial"/>
                <w:bCs/>
              </w:rPr>
              <w:t>SEN statement payments to</w:t>
            </w:r>
            <w:r w:rsidR="005C1000">
              <w:rPr>
                <w:rFonts w:cs="Arial"/>
                <w:bCs/>
              </w:rPr>
              <w:t xml:space="preserve"> Merton </w:t>
            </w:r>
            <w:r>
              <w:rPr>
                <w:rFonts w:cs="Arial"/>
                <w:bCs/>
              </w:rPr>
              <w:t>maintained schools</w:t>
            </w:r>
          </w:p>
        </w:tc>
        <w:tc>
          <w:tcPr>
            <w:tcW w:w="1559" w:type="dxa"/>
            <w:tcBorders>
              <w:top w:val="single" w:sz="4" w:space="0" w:color="auto"/>
            </w:tcBorders>
          </w:tcPr>
          <w:p w:rsidR="00B43AD2" w:rsidRDefault="00B43AD2" w:rsidP="005334E3">
            <w:pPr>
              <w:jc w:val="right"/>
              <w:rPr>
                <w:rFonts w:ascii="Arial" w:hAnsi="Arial" w:cs="Arial"/>
              </w:rPr>
            </w:pPr>
          </w:p>
        </w:tc>
        <w:tc>
          <w:tcPr>
            <w:tcW w:w="1559" w:type="dxa"/>
            <w:tcBorders>
              <w:top w:val="single" w:sz="4" w:space="0" w:color="auto"/>
            </w:tcBorders>
          </w:tcPr>
          <w:p w:rsidR="00B43AD2" w:rsidRDefault="00B43AD2" w:rsidP="005334E3">
            <w:pPr>
              <w:jc w:val="right"/>
              <w:rPr>
                <w:rFonts w:ascii="Arial" w:hAnsi="Arial" w:cs="Arial"/>
              </w:rPr>
            </w:pPr>
            <w:r>
              <w:rPr>
                <w:rFonts w:ascii="Arial" w:hAnsi="Arial" w:cs="Arial"/>
              </w:rPr>
              <w:t>70</w:t>
            </w:r>
          </w:p>
        </w:tc>
        <w:tc>
          <w:tcPr>
            <w:tcW w:w="1558" w:type="dxa"/>
            <w:tcBorders>
              <w:top w:val="single" w:sz="4" w:space="0" w:color="auto"/>
            </w:tcBorders>
          </w:tcPr>
          <w:p w:rsidR="00B43AD2" w:rsidRDefault="00B43AD2" w:rsidP="005334E3">
            <w:pPr>
              <w:jc w:val="right"/>
              <w:rPr>
                <w:rFonts w:ascii="Arial" w:hAnsi="Arial" w:cs="Arial"/>
              </w:rPr>
            </w:pPr>
          </w:p>
        </w:tc>
        <w:tc>
          <w:tcPr>
            <w:tcW w:w="1561" w:type="dxa"/>
            <w:tcBorders>
              <w:top w:val="single" w:sz="4" w:space="0" w:color="auto"/>
            </w:tcBorders>
          </w:tcPr>
          <w:p w:rsidR="00B43AD2" w:rsidRPr="00D61E3B" w:rsidRDefault="00B43AD2" w:rsidP="005334E3">
            <w:pPr>
              <w:jc w:val="right"/>
              <w:rPr>
                <w:rFonts w:ascii="Arial" w:hAnsi="Arial" w:cs="Arial"/>
              </w:rPr>
            </w:pPr>
            <w:r>
              <w:rPr>
                <w:rFonts w:ascii="Arial" w:hAnsi="Arial" w:cs="Arial"/>
              </w:rPr>
              <w:t>70</w:t>
            </w:r>
          </w:p>
        </w:tc>
      </w:tr>
      <w:tr w:rsidR="00B43AD2" w:rsidRPr="00D61E3B" w:rsidTr="005334E3">
        <w:tc>
          <w:tcPr>
            <w:tcW w:w="3261" w:type="dxa"/>
            <w:tcBorders>
              <w:top w:val="single" w:sz="4" w:space="0" w:color="auto"/>
            </w:tcBorders>
          </w:tcPr>
          <w:p w:rsidR="00B43AD2" w:rsidRPr="00D61E3B" w:rsidRDefault="00B43AD2" w:rsidP="005334E3">
            <w:pPr>
              <w:pStyle w:val="Header"/>
              <w:tabs>
                <w:tab w:val="clear" w:pos="4153"/>
                <w:tab w:val="clear" w:pos="8306"/>
              </w:tabs>
              <w:rPr>
                <w:rFonts w:cs="Arial"/>
                <w:bCs/>
              </w:rPr>
            </w:pPr>
            <w:r>
              <w:rPr>
                <w:rFonts w:cs="Arial"/>
                <w:bCs/>
              </w:rPr>
              <w:t>Early Years Funding Formula</w:t>
            </w:r>
          </w:p>
        </w:tc>
        <w:tc>
          <w:tcPr>
            <w:tcW w:w="1559" w:type="dxa"/>
            <w:tcBorders>
              <w:top w:val="single" w:sz="4" w:space="0" w:color="auto"/>
            </w:tcBorders>
          </w:tcPr>
          <w:p w:rsidR="00B43AD2" w:rsidRDefault="00B43AD2" w:rsidP="005334E3">
            <w:pPr>
              <w:jc w:val="right"/>
              <w:rPr>
                <w:rFonts w:ascii="Arial" w:hAnsi="Arial" w:cs="Arial"/>
              </w:rPr>
            </w:pPr>
          </w:p>
        </w:tc>
        <w:tc>
          <w:tcPr>
            <w:tcW w:w="1559" w:type="dxa"/>
            <w:tcBorders>
              <w:top w:val="single" w:sz="4" w:space="0" w:color="auto"/>
            </w:tcBorders>
          </w:tcPr>
          <w:p w:rsidR="00B43AD2" w:rsidRDefault="00B43AD2" w:rsidP="005334E3">
            <w:pPr>
              <w:jc w:val="right"/>
              <w:rPr>
                <w:rFonts w:ascii="Arial" w:hAnsi="Arial" w:cs="Arial"/>
              </w:rPr>
            </w:pPr>
          </w:p>
        </w:tc>
        <w:tc>
          <w:tcPr>
            <w:tcW w:w="1558" w:type="dxa"/>
            <w:tcBorders>
              <w:top w:val="single" w:sz="4" w:space="0" w:color="auto"/>
            </w:tcBorders>
          </w:tcPr>
          <w:p w:rsidR="00B43AD2" w:rsidRDefault="00B43AD2" w:rsidP="005334E3">
            <w:pPr>
              <w:jc w:val="right"/>
              <w:rPr>
                <w:rFonts w:ascii="Arial" w:hAnsi="Arial" w:cs="Arial"/>
              </w:rPr>
            </w:pPr>
            <w:r>
              <w:rPr>
                <w:rFonts w:ascii="Arial" w:hAnsi="Arial" w:cs="Arial"/>
              </w:rPr>
              <w:t>(125)</w:t>
            </w:r>
          </w:p>
        </w:tc>
        <w:tc>
          <w:tcPr>
            <w:tcW w:w="1561" w:type="dxa"/>
            <w:tcBorders>
              <w:top w:val="single" w:sz="4" w:space="0" w:color="auto"/>
            </w:tcBorders>
          </w:tcPr>
          <w:p w:rsidR="00B43AD2" w:rsidRPr="00D61E3B" w:rsidRDefault="00B43AD2" w:rsidP="005334E3">
            <w:pPr>
              <w:jc w:val="right"/>
              <w:rPr>
                <w:rFonts w:ascii="Arial" w:hAnsi="Arial" w:cs="Arial"/>
              </w:rPr>
            </w:pPr>
            <w:r>
              <w:rPr>
                <w:rFonts w:ascii="Arial" w:hAnsi="Arial" w:cs="Arial"/>
              </w:rPr>
              <w:t>(125)</w:t>
            </w:r>
          </w:p>
        </w:tc>
      </w:tr>
      <w:tr w:rsidR="00C128EE" w:rsidRPr="00D61E3B" w:rsidTr="005E2F0B">
        <w:tc>
          <w:tcPr>
            <w:tcW w:w="3261" w:type="dxa"/>
            <w:tcBorders>
              <w:top w:val="single" w:sz="4" w:space="0" w:color="auto"/>
            </w:tcBorders>
          </w:tcPr>
          <w:p w:rsidR="00C128EE" w:rsidRPr="00D61E3B" w:rsidRDefault="00B43AD2" w:rsidP="005E2F0B">
            <w:pPr>
              <w:pStyle w:val="Header"/>
              <w:tabs>
                <w:tab w:val="clear" w:pos="4153"/>
                <w:tab w:val="clear" w:pos="8306"/>
              </w:tabs>
              <w:rPr>
                <w:rFonts w:cs="Arial"/>
                <w:bCs/>
              </w:rPr>
            </w:pPr>
            <w:r w:rsidRPr="00AD1202">
              <w:rPr>
                <w:rFonts w:cs="Arial"/>
              </w:rPr>
              <w:t>Other small over and underspends</w:t>
            </w:r>
          </w:p>
        </w:tc>
        <w:tc>
          <w:tcPr>
            <w:tcW w:w="1559" w:type="dxa"/>
            <w:tcBorders>
              <w:top w:val="single" w:sz="4" w:space="0" w:color="auto"/>
            </w:tcBorders>
          </w:tcPr>
          <w:p w:rsidR="00C128EE" w:rsidRDefault="00BC436B" w:rsidP="005E2F0B">
            <w:pPr>
              <w:jc w:val="right"/>
              <w:rPr>
                <w:rFonts w:ascii="Arial" w:hAnsi="Arial" w:cs="Arial"/>
              </w:rPr>
            </w:pPr>
            <w:r>
              <w:rPr>
                <w:rFonts w:ascii="Arial" w:hAnsi="Arial" w:cs="Arial"/>
              </w:rPr>
              <w:t>19</w:t>
            </w:r>
          </w:p>
        </w:tc>
        <w:tc>
          <w:tcPr>
            <w:tcW w:w="1559" w:type="dxa"/>
            <w:tcBorders>
              <w:top w:val="single" w:sz="4" w:space="0" w:color="auto"/>
            </w:tcBorders>
          </w:tcPr>
          <w:p w:rsidR="00C128EE" w:rsidRDefault="00C128EE" w:rsidP="00C128EE">
            <w:pPr>
              <w:jc w:val="right"/>
              <w:rPr>
                <w:rFonts w:ascii="Arial" w:hAnsi="Arial" w:cs="Arial"/>
              </w:rPr>
            </w:pPr>
          </w:p>
        </w:tc>
        <w:tc>
          <w:tcPr>
            <w:tcW w:w="1558" w:type="dxa"/>
            <w:tcBorders>
              <w:top w:val="single" w:sz="4" w:space="0" w:color="auto"/>
            </w:tcBorders>
          </w:tcPr>
          <w:p w:rsidR="00C128EE" w:rsidRDefault="00C128EE" w:rsidP="005E2F0B">
            <w:pPr>
              <w:jc w:val="right"/>
              <w:rPr>
                <w:rFonts w:ascii="Arial" w:hAnsi="Arial" w:cs="Arial"/>
              </w:rPr>
            </w:pPr>
          </w:p>
        </w:tc>
        <w:tc>
          <w:tcPr>
            <w:tcW w:w="1561" w:type="dxa"/>
            <w:tcBorders>
              <w:top w:val="single" w:sz="4" w:space="0" w:color="auto"/>
            </w:tcBorders>
          </w:tcPr>
          <w:p w:rsidR="00C128EE" w:rsidRPr="00D61E3B" w:rsidRDefault="00BC436B" w:rsidP="00C128EE">
            <w:pPr>
              <w:jc w:val="right"/>
              <w:rPr>
                <w:rFonts w:ascii="Arial" w:hAnsi="Arial" w:cs="Arial"/>
              </w:rPr>
            </w:pPr>
            <w:r>
              <w:rPr>
                <w:rFonts w:ascii="Arial" w:hAnsi="Arial" w:cs="Arial"/>
              </w:rPr>
              <w:t>19</w:t>
            </w:r>
          </w:p>
        </w:tc>
      </w:tr>
      <w:tr w:rsidR="002C3DA9" w:rsidRPr="004C1A79" w:rsidTr="00B762F5">
        <w:tc>
          <w:tcPr>
            <w:tcW w:w="3261" w:type="dxa"/>
            <w:tcBorders>
              <w:top w:val="single" w:sz="6" w:space="0" w:color="auto"/>
            </w:tcBorders>
            <w:shd w:val="clear" w:color="auto" w:fill="4F81BD" w:themeFill="accent1"/>
          </w:tcPr>
          <w:p w:rsidR="002C3DA9" w:rsidRPr="004C1A79" w:rsidRDefault="002C3DA9" w:rsidP="005C46BA">
            <w:pPr>
              <w:pStyle w:val="Header"/>
              <w:tabs>
                <w:tab w:val="clear" w:pos="4153"/>
                <w:tab w:val="clear" w:pos="8306"/>
              </w:tabs>
              <w:rPr>
                <w:rFonts w:cs="Arial"/>
                <w:b/>
                <w:bCs/>
              </w:rPr>
            </w:pPr>
            <w:r w:rsidRPr="004C1A79">
              <w:rPr>
                <w:rFonts w:cs="Arial"/>
                <w:b/>
                <w:bCs/>
              </w:rPr>
              <w:t>Delegated expenditure</w:t>
            </w:r>
          </w:p>
        </w:tc>
        <w:tc>
          <w:tcPr>
            <w:tcW w:w="1559" w:type="dxa"/>
            <w:tcBorders>
              <w:top w:val="single" w:sz="6" w:space="0" w:color="auto"/>
            </w:tcBorders>
            <w:shd w:val="clear" w:color="auto" w:fill="4F81BD" w:themeFill="accent1"/>
            <w:vAlign w:val="bottom"/>
          </w:tcPr>
          <w:p w:rsidR="002C3DA9" w:rsidRPr="004C1A79" w:rsidRDefault="00BC436B" w:rsidP="005C46BA">
            <w:pPr>
              <w:jc w:val="right"/>
              <w:rPr>
                <w:rFonts w:ascii="Arial" w:hAnsi="Arial" w:cs="Arial"/>
                <w:b/>
              </w:rPr>
            </w:pPr>
            <w:r>
              <w:rPr>
                <w:rFonts w:ascii="Arial" w:hAnsi="Arial" w:cs="Arial"/>
                <w:b/>
              </w:rPr>
              <w:t>(131)</w:t>
            </w:r>
          </w:p>
        </w:tc>
        <w:tc>
          <w:tcPr>
            <w:tcW w:w="1559" w:type="dxa"/>
            <w:tcBorders>
              <w:top w:val="single" w:sz="6" w:space="0" w:color="auto"/>
            </w:tcBorders>
            <w:shd w:val="clear" w:color="auto" w:fill="4F81BD" w:themeFill="accent1"/>
            <w:vAlign w:val="bottom"/>
          </w:tcPr>
          <w:p w:rsidR="002C3DA9" w:rsidRPr="004C1A79" w:rsidRDefault="00BC436B" w:rsidP="005C46BA">
            <w:pPr>
              <w:jc w:val="right"/>
              <w:rPr>
                <w:rFonts w:ascii="Arial" w:hAnsi="Arial" w:cs="Arial"/>
                <w:b/>
              </w:rPr>
            </w:pPr>
            <w:r>
              <w:rPr>
                <w:rFonts w:ascii="Arial" w:hAnsi="Arial" w:cs="Arial"/>
                <w:b/>
              </w:rPr>
              <w:t>70</w:t>
            </w:r>
          </w:p>
        </w:tc>
        <w:tc>
          <w:tcPr>
            <w:tcW w:w="1558" w:type="dxa"/>
            <w:tcBorders>
              <w:top w:val="single" w:sz="6" w:space="0" w:color="auto"/>
            </w:tcBorders>
            <w:shd w:val="clear" w:color="auto" w:fill="4F81BD" w:themeFill="accent1"/>
            <w:vAlign w:val="bottom"/>
          </w:tcPr>
          <w:p w:rsidR="002C3DA9" w:rsidRPr="004C1A79" w:rsidRDefault="002C3DA9" w:rsidP="00BC436B">
            <w:pPr>
              <w:jc w:val="right"/>
              <w:rPr>
                <w:rFonts w:ascii="Arial" w:hAnsi="Arial" w:cs="Arial"/>
                <w:b/>
              </w:rPr>
            </w:pPr>
            <w:r w:rsidRPr="004C1A79">
              <w:rPr>
                <w:rFonts w:ascii="Arial" w:hAnsi="Arial" w:cs="Arial"/>
                <w:b/>
              </w:rPr>
              <w:t>(</w:t>
            </w:r>
            <w:r w:rsidR="00BC436B">
              <w:rPr>
                <w:rFonts w:ascii="Arial" w:hAnsi="Arial" w:cs="Arial"/>
                <w:b/>
              </w:rPr>
              <w:t>125)</w:t>
            </w:r>
          </w:p>
        </w:tc>
        <w:tc>
          <w:tcPr>
            <w:tcW w:w="1561" w:type="dxa"/>
            <w:tcBorders>
              <w:top w:val="single" w:sz="6" w:space="0" w:color="auto"/>
            </w:tcBorders>
            <w:shd w:val="clear" w:color="auto" w:fill="4F81BD" w:themeFill="accent1"/>
            <w:vAlign w:val="bottom"/>
          </w:tcPr>
          <w:p w:rsidR="002C3DA9" w:rsidRPr="004C1A79" w:rsidRDefault="002C3DA9" w:rsidP="005E2F0B">
            <w:pPr>
              <w:jc w:val="right"/>
              <w:rPr>
                <w:rFonts w:ascii="Arial" w:hAnsi="Arial" w:cs="Arial"/>
                <w:b/>
              </w:rPr>
            </w:pPr>
            <w:r w:rsidRPr="004C1A79">
              <w:rPr>
                <w:rFonts w:ascii="Arial" w:hAnsi="Arial" w:cs="Arial"/>
                <w:b/>
              </w:rPr>
              <w:t>(1</w:t>
            </w:r>
            <w:r w:rsidR="00BC436B">
              <w:rPr>
                <w:rFonts w:ascii="Arial" w:hAnsi="Arial" w:cs="Arial"/>
                <w:b/>
              </w:rPr>
              <w:t>86</w:t>
            </w:r>
            <w:r w:rsidRPr="004C1A79">
              <w:rPr>
                <w:rFonts w:ascii="Arial" w:hAnsi="Arial" w:cs="Arial"/>
                <w:b/>
              </w:rPr>
              <w:t>)</w:t>
            </w:r>
          </w:p>
        </w:tc>
      </w:tr>
      <w:tr w:rsidR="00BC605B" w:rsidRPr="00D61E3B" w:rsidTr="005040BF">
        <w:tc>
          <w:tcPr>
            <w:tcW w:w="3261" w:type="dxa"/>
            <w:tcBorders>
              <w:top w:val="single" w:sz="4" w:space="0" w:color="auto"/>
            </w:tcBorders>
          </w:tcPr>
          <w:p w:rsidR="00BC605B" w:rsidRPr="005040BF" w:rsidRDefault="005040BF" w:rsidP="00BC605B">
            <w:pPr>
              <w:pStyle w:val="Header"/>
              <w:tabs>
                <w:tab w:val="clear" w:pos="4153"/>
                <w:tab w:val="clear" w:pos="8306"/>
              </w:tabs>
              <w:rPr>
                <w:rFonts w:cs="Arial"/>
                <w:bCs/>
              </w:rPr>
            </w:pPr>
            <w:r>
              <w:rPr>
                <w:rFonts w:cs="Arial"/>
                <w:bCs/>
              </w:rPr>
              <w:t>Parenting cover</w:t>
            </w:r>
          </w:p>
        </w:tc>
        <w:tc>
          <w:tcPr>
            <w:tcW w:w="1559" w:type="dxa"/>
            <w:tcBorders>
              <w:top w:val="single" w:sz="4" w:space="0" w:color="auto"/>
            </w:tcBorders>
          </w:tcPr>
          <w:p w:rsidR="00BC605B" w:rsidRPr="005040BF" w:rsidRDefault="005040BF" w:rsidP="005040BF">
            <w:pPr>
              <w:jc w:val="right"/>
              <w:rPr>
                <w:rFonts w:ascii="Arial" w:hAnsi="Arial" w:cs="Arial"/>
              </w:rPr>
            </w:pPr>
            <w:r>
              <w:rPr>
                <w:rFonts w:ascii="Arial" w:hAnsi="Arial" w:cs="Arial"/>
              </w:rPr>
              <w:t>127</w:t>
            </w:r>
          </w:p>
        </w:tc>
        <w:tc>
          <w:tcPr>
            <w:tcW w:w="1559" w:type="dxa"/>
            <w:tcBorders>
              <w:top w:val="single" w:sz="4" w:space="0" w:color="auto"/>
            </w:tcBorders>
          </w:tcPr>
          <w:p w:rsidR="00BC605B" w:rsidRPr="005040BF" w:rsidRDefault="00BC605B" w:rsidP="002E4C70">
            <w:pPr>
              <w:jc w:val="right"/>
              <w:rPr>
                <w:rFonts w:ascii="Arial" w:hAnsi="Arial" w:cs="Arial"/>
              </w:rPr>
            </w:pPr>
          </w:p>
        </w:tc>
        <w:tc>
          <w:tcPr>
            <w:tcW w:w="1558" w:type="dxa"/>
            <w:tcBorders>
              <w:top w:val="single" w:sz="4" w:space="0" w:color="auto"/>
            </w:tcBorders>
            <w:vAlign w:val="bottom"/>
          </w:tcPr>
          <w:p w:rsidR="00BC605B" w:rsidRPr="005040BF" w:rsidRDefault="00BC605B" w:rsidP="00BC605B">
            <w:pPr>
              <w:jc w:val="right"/>
              <w:rPr>
                <w:rFonts w:ascii="Arial" w:hAnsi="Arial" w:cs="Arial"/>
              </w:rPr>
            </w:pPr>
          </w:p>
        </w:tc>
        <w:tc>
          <w:tcPr>
            <w:tcW w:w="1561" w:type="dxa"/>
            <w:tcBorders>
              <w:top w:val="single" w:sz="4" w:space="0" w:color="auto"/>
            </w:tcBorders>
          </w:tcPr>
          <w:p w:rsidR="00BC605B" w:rsidRDefault="005040BF" w:rsidP="005040BF">
            <w:pPr>
              <w:jc w:val="right"/>
              <w:rPr>
                <w:rFonts w:ascii="Arial" w:hAnsi="Arial" w:cs="Arial"/>
              </w:rPr>
            </w:pPr>
            <w:r>
              <w:rPr>
                <w:rFonts w:ascii="Arial" w:hAnsi="Arial" w:cs="Arial"/>
              </w:rPr>
              <w:t>127</w:t>
            </w:r>
          </w:p>
        </w:tc>
      </w:tr>
      <w:tr w:rsidR="00F44A44" w:rsidRPr="00D61E3B" w:rsidTr="00735498">
        <w:tc>
          <w:tcPr>
            <w:tcW w:w="3261" w:type="dxa"/>
            <w:tcBorders>
              <w:top w:val="single" w:sz="4" w:space="0" w:color="auto"/>
            </w:tcBorders>
          </w:tcPr>
          <w:p w:rsidR="00F44A44" w:rsidRPr="00D61E3B" w:rsidRDefault="00F44A44" w:rsidP="00735498">
            <w:pPr>
              <w:pStyle w:val="Header"/>
              <w:tabs>
                <w:tab w:val="clear" w:pos="4153"/>
                <w:tab w:val="clear" w:pos="8306"/>
              </w:tabs>
              <w:rPr>
                <w:rFonts w:cs="Arial"/>
                <w:bCs/>
              </w:rPr>
            </w:pPr>
            <w:r>
              <w:rPr>
                <w:rFonts w:cs="Arial"/>
                <w:bCs/>
              </w:rPr>
              <w:t>SEN placements in Out of Borough maintained schools</w:t>
            </w:r>
          </w:p>
        </w:tc>
        <w:tc>
          <w:tcPr>
            <w:tcW w:w="1559" w:type="dxa"/>
            <w:tcBorders>
              <w:top w:val="single" w:sz="4" w:space="0" w:color="auto"/>
            </w:tcBorders>
            <w:vAlign w:val="bottom"/>
          </w:tcPr>
          <w:p w:rsidR="00F44A44" w:rsidRDefault="00F44A44" w:rsidP="00735498">
            <w:pPr>
              <w:jc w:val="right"/>
              <w:rPr>
                <w:rFonts w:ascii="Arial" w:hAnsi="Arial" w:cs="Arial"/>
              </w:rPr>
            </w:pPr>
          </w:p>
        </w:tc>
        <w:tc>
          <w:tcPr>
            <w:tcW w:w="1559" w:type="dxa"/>
            <w:tcBorders>
              <w:top w:val="single" w:sz="4" w:space="0" w:color="auto"/>
            </w:tcBorders>
          </w:tcPr>
          <w:p w:rsidR="00F44A44" w:rsidRDefault="00F44A44" w:rsidP="00735498">
            <w:pPr>
              <w:jc w:val="right"/>
              <w:rPr>
                <w:rFonts w:ascii="Arial" w:hAnsi="Arial" w:cs="Arial"/>
              </w:rPr>
            </w:pPr>
            <w:r>
              <w:rPr>
                <w:rFonts w:ascii="Arial" w:hAnsi="Arial" w:cs="Arial"/>
              </w:rPr>
              <w:t>246</w:t>
            </w:r>
          </w:p>
        </w:tc>
        <w:tc>
          <w:tcPr>
            <w:tcW w:w="1558" w:type="dxa"/>
            <w:tcBorders>
              <w:top w:val="single" w:sz="4" w:space="0" w:color="auto"/>
            </w:tcBorders>
            <w:vAlign w:val="bottom"/>
          </w:tcPr>
          <w:p w:rsidR="00F44A44" w:rsidRDefault="00F44A44" w:rsidP="00735498">
            <w:pPr>
              <w:jc w:val="right"/>
              <w:rPr>
                <w:rFonts w:ascii="Arial" w:hAnsi="Arial" w:cs="Arial"/>
              </w:rPr>
            </w:pPr>
          </w:p>
        </w:tc>
        <w:tc>
          <w:tcPr>
            <w:tcW w:w="1561" w:type="dxa"/>
            <w:tcBorders>
              <w:top w:val="single" w:sz="4" w:space="0" w:color="auto"/>
            </w:tcBorders>
          </w:tcPr>
          <w:p w:rsidR="00F44A44" w:rsidRDefault="00F44A44" w:rsidP="00735498">
            <w:pPr>
              <w:jc w:val="right"/>
              <w:rPr>
                <w:rFonts w:ascii="Arial" w:hAnsi="Arial" w:cs="Arial"/>
              </w:rPr>
            </w:pPr>
            <w:r>
              <w:rPr>
                <w:rFonts w:ascii="Arial" w:hAnsi="Arial" w:cs="Arial"/>
              </w:rPr>
              <w:t>246</w:t>
            </w:r>
          </w:p>
        </w:tc>
      </w:tr>
      <w:tr w:rsidR="00F44A44" w:rsidRPr="00D61E3B" w:rsidTr="00735498">
        <w:tc>
          <w:tcPr>
            <w:tcW w:w="3261" w:type="dxa"/>
            <w:tcBorders>
              <w:top w:val="single" w:sz="4" w:space="0" w:color="auto"/>
            </w:tcBorders>
          </w:tcPr>
          <w:p w:rsidR="00F44A44" w:rsidRPr="00D61E3B" w:rsidRDefault="00F44A44" w:rsidP="00735498">
            <w:pPr>
              <w:pStyle w:val="Header"/>
              <w:tabs>
                <w:tab w:val="clear" w:pos="4153"/>
                <w:tab w:val="clear" w:pos="8306"/>
              </w:tabs>
              <w:rPr>
                <w:rFonts w:cs="Arial"/>
                <w:bCs/>
              </w:rPr>
            </w:pPr>
            <w:r>
              <w:rPr>
                <w:rFonts w:cs="Arial"/>
                <w:bCs/>
              </w:rPr>
              <w:t>Independent day school provision</w:t>
            </w:r>
          </w:p>
        </w:tc>
        <w:tc>
          <w:tcPr>
            <w:tcW w:w="1559" w:type="dxa"/>
            <w:tcBorders>
              <w:top w:val="single" w:sz="4" w:space="0" w:color="auto"/>
            </w:tcBorders>
            <w:vAlign w:val="bottom"/>
          </w:tcPr>
          <w:p w:rsidR="00F44A44" w:rsidRDefault="00F44A44" w:rsidP="00735498">
            <w:pPr>
              <w:jc w:val="right"/>
              <w:rPr>
                <w:rFonts w:ascii="Arial" w:hAnsi="Arial" w:cs="Arial"/>
              </w:rPr>
            </w:pPr>
          </w:p>
        </w:tc>
        <w:tc>
          <w:tcPr>
            <w:tcW w:w="1559" w:type="dxa"/>
            <w:tcBorders>
              <w:top w:val="single" w:sz="4" w:space="0" w:color="auto"/>
            </w:tcBorders>
          </w:tcPr>
          <w:p w:rsidR="00F44A44" w:rsidRDefault="00530C6A" w:rsidP="00735498">
            <w:pPr>
              <w:jc w:val="right"/>
              <w:rPr>
                <w:rFonts w:ascii="Arial" w:hAnsi="Arial" w:cs="Arial"/>
              </w:rPr>
            </w:pPr>
            <w:r>
              <w:rPr>
                <w:rFonts w:ascii="Arial" w:hAnsi="Arial" w:cs="Arial"/>
              </w:rPr>
              <w:t>684</w:t>
            </w:r>
          </w:p>
        </w:tc>
        <w:tc>
          <w:tcPr>
            <w:tcW w:w="1558" w:type="dxa"/>
            <w:tcBorders>
              <w:top w:val="single" w:sz="4" w:space="0" w:color="auto"/>
            </w:tcBorders>
            <w:vAlign w:val="bottom"/>
          </w:tcPr>
          <w:p w:rsidR="00F44A44" w:rsidRDefault="00F44A44" w:rsidP="00735498">
            <w:pPr>
              <w:jc w:val="right"/>
              <w:rPr>
                <w:rFonts w:ascii="Arial" w:hAnsi="Arial" w:cs="Arial"/>
              </w:rPr>
            </w:pPr>
          </w:p>
        </w:tc>
        <w:tc>
          <w:tcPr>
            <w:tcW w:w="1561" w:type="dxa"/>
            <w:tcBorders>
              <w:top w:val="single" w:sz="4" w:space="0" w:color="auto"/>
            </w:tcBorders>
          </w:tcPr>
          <w:p w:rsidR="00F44A44" w:rsidRDefault="00530C6A" w:rsidP="00735498">
            <w:pPr>
              <w:jc w:val="right"/>
              <w:rPr>
                <w:rFonts w:ascii="Arial" w:hAnsi="Arial" w:cs="Arial"/>
              </w:rPr>
            </w:pPr>
            <w:r>
              <w:rPr>
                <w:rFonts w:ascii="Arial" w:hAnsi="Arial" w:cs="Arial"/>
              </w:rPr>
              <w:t>684</w:t>
            </w:r>
          </w:p>
        </w:tc>
      </w:tr>
      <w:tr w:rsidR="002E4C70" w:rsidRPr="00D61E3B" w:rsidTr="002E4C70">
        <w:tc>
          <w:tcPr>
            <w:tcW w:w="3261" w:type="dxa"/>
            <w:tcBorders>
              <w:top w:val="single" w:sz="4" w:space="0" w:color="auto"/>
            </w:tcBorders>
          </w:tcPr>
          <w:p w:rsidR="002E4C70" w:rsidRPr="00D61E3B" w:rsidRDefault="002E4C70" w:rsidP="002E4C70">
            <w:pPr>
              <w:pStyle w:val="Header"/>
              <w:tabs>
                <w:tab w:val="clear" w:pos="4153"/>
                <w:tab w:val="clear" w:pos="8306"/>
              </w:tabs>
              <w:rPr>
                <w:rFonts w:cs="Arial"/>
                <w:bCs/>
              </w:rPr>
            </w:pPr>
            <w:r>
              <w:rPr>
                <w:rFonts w:cs="Arial"/>
                <w:bCs/>
              </w:rPr>
              <w:t>Independent residential school provision</w:t>
            </w:r>
          </w:p>
        </w:tc>
        <w:tc>
          <w:tcPr>
            <w:tcW w:w="1559" w:type="dxa"/>
            <w:tcBorders>
              <w:top w:val="single" w:sz="4" w:space="0" w:color="auto"/>
            </w:tcBorders>
            <w:vAlign w:val="bottom"/>
          </w:tcPr>
          <w:p w:rsidR="002E4C70" w:rsidRDefault="002E4C70" w:rsidP="002E4C70">
            <w:pPr>
              <w:jc w:val="right"/>
              <w:rPr>
                <w:rFonts w:ascii="Arial" w:hAnsi="Arial" w:cs="Arial"/>
              </w:rPr>
            </w:pPr>
          </w:p>
        </w:tc>
        <w:tc>
          <w:tcPr>
            <w:tcW w:w="1559" w:type="dxa"/>
            <w:tcBorders>
              <w:top w:val="single" w:sz="4" w:space="0" w:color="auto"/>
            </w:tcBorders>
          </w:tcPr>
          <w:p w:rsidR="002E4C70" w:rsidRDefault="00530C6A" w:rsidP="002E4C70">
            <w:pPr>
              <w:jc w:val="right"/>
              <w:rPr>
                <w:rFonts w:ascii="Arial" w:hAnsi="Arial" w:cs="Arial"/>
              </w:rPr>
            </w:pPr>
            <w:r>
              <w:rPr>
                <w:rFonts w:ascii="Arial" w:hAnsi="Arial" w:cs="Arial"/>
              </w:rPr>
              <w:t>(15</w:t>
            </w:r>
            <w:r w:rsidR="002E4C70">
              <w:rPr>
                <w:rFonts w:ascii="Arial" w:hAnsi="Arial" w:cs="Arial"/>
              </w:rPr>
              <w:t>9)</w:t>
            </w:r>
          </w:p>
        </w:tc>
        <w:tc>
          <w:tcPr>
            <w:tcW w:w="1558" w:type="dxa"/>
            <w:tcBorders>
              <w:top w:val="single" w:sz="4" w:space="0" w:color="auto"/>
            </w:tcBorders>
            <w:vAlign w:val="bottom"/>
          </w:tcPr>
          <w:p w:rsidR="002E4C70" w:rsidRDefault="002E4C70" w:rsidP="002E4C70">
            <w:pPr>
              <w:jc w:val="right"/>
              <w:rPr>
                <w:rFonts w:ascii="Arial" w:hAnsi="Arial" w:cs="Arial"/>
              </w:rPr>
            </w:pPr>
          </w:p>
        </w:tc>
        <w:tc>
          <w:tcPr>
            <w:tcW w:w="1561" w:type="dxa"/>
            <w:tcBorders>
              <w:top w:val="single" w:sz="4" w:space="0" w:color="auto"/>
            </w:tcBorders>
          </w:tcPr>
          <w:p w:rsidR="002E4C70" w:rsidRDefault="002E4C70" w:rsidP="0046274E">
            <w:pPr>
              <w:jc w:val="right"/>
              <w:rPr>
                <w:rFonts w:ascii="Arial" w:hAnsi="Arial" w:cs="Arial"/>
              </w:rPr>
            </w:pPr>
            <w:r>
              <w:rPr>
                <w:rFonts w:ascii="Arial" w:hAnsi="Arial" w:cs="Arial"/>
              </w:rPr>
              <w:t>(</w:t>
            </w:r>
            <w:r w:rsidR="00530C6A">
              <w:rPr>
                <w:rFonts w:ascii="Arial" w:hAnsi="Arial" w:cs="Arial"/>
              </w:rPr>
              <w:t>15</w:t>
            </w:r>
            <w:r w:rsidR="0046274E">
              <w:rPr>
                <w:rFonts w:ascii="Arial" w:hAnsi="Arial" w:cs="Arial"/>
              </w:rPr>
              <w:t>9</w:t>
            </w:r>
            <w:r>
              <w:rPr>
                <w:rFonts w:ascii="Arial" w:hAnsi="Arial" w:cs="Arial"/>
              </w:rPr>
              <w:t>)</w:t>
            </w:r>
          </w:p>
        </w:tc>
      </w:tr>
      <w:tr w:rsidR="005E2F0B" w:rsidRPr="00D61E3B" w:rsidTr="005C1000">
        <w:tc>
          <w:tcPr>
            <w:tcW w:w="3261" w:type="dxa"/>
            <w:tcBorders>
              <w:top w:val="single" w:sz="4" w:space="0" w:color="auto"/>
            </w:tcBorders>
          </w:tcPr>
          <w:p w:rsidR="005E2F0B" w:rsidRPr="00D61E3B" w:rsidRDefault="005C1000" w:rsidP="005C1000">
            <w:pPr>
              <w:pStyle w:val="Header"/>
              <w:tabs>
                <w:tab w:val="clear" w:pos="4153"/>
                <w:tab w:val="clear" w:pos="8306"/>
              </w:tabs>
              <w:rPr>
                <w:rFonts w:cs="Arial"/>
                <w:bCs/>
              </w:rPr>
            </w:pPr>
            <w:r>
              <w:rPr>
                <w:rFonts w:cs="Arial"/>
                <w:bCs/>
              </w:rPr>
              <w:t>SEN placements in Merton academies</w:t>
            </w:r>
          </w:p>
        </w:tc>
        <w:tc>
          <w:tcPr>
            <w:tcW w:w="1559" w:type="dxa"/>
            <w:tcBorders>
              <w:top w:val="single" w:sz="4" w:space="0" w:color="auto"/>
            </w:tcBorders>
            <w:vAlign w:val="bottom"/>
          </w:tcPr>
          <w:p w:rsidR="005E2F0B" w:rsidRDefault="005E2F0B" w:rsidP="0046274E">
            <w:pPr>
              <w:jc w:val="right"/>
              <w:rPr>
                <w:rFonts w:ascii="Arial" w:hAnsi="Arial" w:cs="Arial"/>
              </w:rPr>
            </w:pPr>
          </w:p>
        </w:tc>
        <w:tc>
          <w:tcPr>
            <w:tcW w:w="1559" w:type="dxa"/>
            <w:tcBorders>
              <w:top w:val="single" w:sz="4" w:space="0" w:color="auto"/>
            </w:tcBorders>
          </w:tcPr>
          <w:p w:rsidR="005E2F0B" w:rsidRDefault="005C1000" w:rsidP="005C1000">
            <w:pPr>
              <w:jc w:val="right"/>
              <w:rPr>
                <w:rFonts w:ascii="Arial" w:hAnsi="Arial" w:cs="Arial"/>
              </w:rPr>
            </w:pPr>
            <w:r>
              <w:rPr>
                <w:rFonts w:ascii="Arial" w:hAnsi="Arial" w:cs="Arial"/>
              </w:rPr>
              <w:t>(145)</w:t>
            </w:r>
          </w:p>
        </w:tc>
        <w:tc>
          <w:tcPr>
            <w:tcW w:w="1558" w:type="dxa"/>
            <w:tcBorders>
              <w:top w:val="single" w:sz="4" w:space="0" w:color="auto"/>
            </w:tcBorders>
            <w:vAlign w:val="bottom"/>
          </w:tcPr>
          <w:p w:rsidR="005E2F0B" w:rsidRDefault="005E2F0B" w:rsidP="00BC605B">
            <w:pPr>
              <w:jc w:val="right"/>
              <w:rPr>
                <w:rFonts w:ascii="Arial" w:hAnsi="Arial" w:cs="Arial"/>
              </w:rPr>
            </w:pPr>
          </w:p>
        </w:tc>
        <w:tc>
          <w:tcPr>
            <w:tcW w:w="1561" w:type="dxa"/>
            <w:tcBorders>
              <w:top w:val="single" w:sz="4" w:space="0" w:color="auto"/>
            </w:tcBorders>
          </w:tcPr>
          <w:p w:rsidR="005E2F0B" w:rsidRPr="00D61E3B" w:rsidRDefault="005C1000" w:rsidP="005C1000">
            <w:pPr>
              <w:jc w:val="right"/>
              <w:rPr>
                <w:rFonts w:ascii="Arial" w:hAnsi="Arial" w:cs="Arial"/>
              </w:rPr>
            </w:pPr>
            <w:r>
              <w:rPr>
                <w:rFonts w:ascii="Arial" w:hAnsi="Arial" w:cs="Arial"/>
              </w:rPr>
              <w:t>(145)</w:t>
            </w:r>
          </w:p>
        </w:tc>
      </w:tr>
      <w:tr w:rsidR="004C1A79" w:rsidRPr="00D61E3B" w:rsidTr="004C1A79">
        <w:tc>
          <w:tcPr>
            <w:tcW w:w="3261" w:type="dxa"/>
            <w:tcBorders>
              <w:bottom w:val="single" w:sz="6" w:space="0" w:color="auto"/>
            </w:tcBorders>
          </w:tcPr>
          <w:p w:rsidR="004C1A79" w:rsidRPr="00D61E3B" w:rsidRDefault="004C1A79" w:rsidP="004C1A79">
            <w:pPr>
              <w:pStyle w:val="Header"/>
              <w:tabs>
                <w:tab w:val="clear" w:pos="4153"/>
                <w:tab w:val="clear" w:pos="8306"/>
              </w:tabs>
              <w:rPr>
                <w:rFonts w:cs="Arial"/>
                <w:bCs/>
              </w:rPr>
            </w:pPr>
            <w:r w:rsidRPr="00AD1202">
              <w:rPr>
                <w:rFonts w:cs="Arial"/>
              </w:rPr>
              <w:t>Other small over and underspends</w:t>
            </w:r>
          </w:p>
        </w:tc>
        <w:tc>
          <w:tcPr>
            <w:tcW w:w="1559" w:type="dxa"/>
            <w:tcBorders>
              <w:bottom w:val="single" w:sz="6" w:space="0" w:color="auto"/>
            </w:tcBorders>
          </w:tcPr>
          <w:p w:rsidR="004C1A79" w:rsidRDefault="005C1000" w:rsidP="0046274E">
            <w:pPr>
              <w:jc w:val="right"/>
              <w:rPr>
                <w:rFonts w:ascii="Arial" w:hAnsi="Arial" w:cs="Arial"/>
              </w:rPr>
            </w:pPr>
            <w:r>
              <w:rPr>
                <w:rFonts w:ascii="Arial" w:hAnsi="Arial" w:cs="Arial"/>
              </w:rPr>
              <w:t>(87)</w:t>
            </w:r>
          </w:p>
        </w:tc>
        <w:tc>
          <w:tcPr>
            <w:tcW w:w="1559" w:type="dxa"/>
            <w:tcBorders>
              <w:bottom w:val="single" w:sz="6" w:space="0" w:color="auto"/>
            </w:tcBorders>
          </w:tcPr>
          <w:p w:rsidR="004C1A79" w:rsidRDefault="00016282" w:rsidP="0046274E">
            <w:pPr>
              <w:jc w:val="right"/>
              <w:rPr>
                <w:rFonts w:ascii="Arial" w:hAnsi="Arial" w:cs="Arial"/>
              </w:rPr>
            </w:pPr>
            <w:r>
              <w:rPr>
                <w:rFonts w:ascii="Arial" w:hAnsi="Arial" w:cs="Arial"/>
              </w:rPr>
              <w:t>(8)</w:t>
            </w:r>
          </w:p>
        </w:tc>
        <w:tc>
          <w:tcPr>
            <w:tcW w:w="1558" w:type="dxa"/>
            <w:tcBorders>
              <w:bottom w:val="single" w:sz="6" w:space="0" w:color="auto"/>
            </w:tcBorders>
          </w:tcPr>
          <w:p w:rsidR="004C1A79" w:rsidRDefault="00016282" w:rsidP="004C1A79">
            <w:pPr>
              <w:jc w:val="right"/>
              <w:rPr>
                <w:rFonts w:ascii="Arial" w:hAnsi="Arial" w:cs="Arial"/>
              </w:rPr>
            </w:pPr>
            <w:r>
              <w:rPr>
                <w:rFonts w:ascii="Arial" w:hAnsi="Arial" w:cs="Arial"/>
              </w:rPr>
              <w:t>(45)</w:t>
            </w:r>
          </w:p>
        </w:tc>
        <w:tc>
          <w:tcPr>
            <w:tcW w:w="1561" w:type="dxa"/>
            <w:tcBorders>
              <w:bottom w:val="single" w:sz="6" w:space="0" w:color="auto"/>
            </w:tcBorders>
          </w:tcPr>
          <w:p w:rsidR="004C1A79" w:rsidRDefault="00016282" w:rsidP="0046274E">
            <w:pPr>
              <w:jc w:val="right"/>
              <w:rPr>
                <w:rFonts w:ascii="Arial" w:hAnsi="Arial" w:cs="Arial"/>
              </w:rPr>
            </w:pPr>
            <w:r>
              <w:rPr>
                <w:rFonts w:ascii="Arial" w:hAnsi="Arial" w:cs="Arial"/>
              </w:rPr>
              <w:t>(140)</w:t>
            </w:r>
          </w:p>
        </w:tc>
      </w:tr>
      <w:tr w:rsidR="00C128EE" w:rsidRPr="004C1A79" w:rsidTr="004C1A79">
        <w:tc>
          <w:tcPr>
            <w:tcW w:w="3261" w:type="dxa"/>
            <w:shd w:val="clear" w:color="auto" w:fill="4F81BD" w:themeFill="accent1"/>
          </w:tcPr>
          <w:p w:rsidR="00C128EE" w:rsidRPr="004C1A79" w:rsidRDefault="00C128EE" w:rsidP="005C46BA">
            <w:pPr>
              <w:pStyle w:val="Header"/>
              <w:tabs>
                <w:tab w:val="clear" w:pos="4153"/>
                <w:tab w:val="clear" w:pos="8306"/>
              </w:tabs>
              <w:rPr>
                <w:rFonts w:cs="Arial"/>
                <w:b/>
                <w:bCs/>
              </w:rPr>
            </w:pPr>
            <w:r w:rsidRPr="004C1A79">
              <w:rPr>
                <w:rFonts w:cs="Arial"/>
                <w:b/>
                <w:bCs/>
              </w:rPr>
              <w:t>Retained Items</w:t>
            </w:r>
          </w:p>
        </w:tc>
        <w:tc>
          <w:tcPr>
            <w:tcW w:w="1559" w:type="dxa"/>
            <w:shd w:val="clear" w:color="auto" w:fill="4F81BD" w:themeFill="accent1"/>
            <w:vAlign w:val="bottom"/>
          </w:tcPr>
          <w:p w:rsidR="00C128EE" w:rsidRPr="004C1A79" w:rsidRDefault="00530C6A" w:rsidP="0046274E">
            <w:pPr>
              <w:jc w:val="right"/>
              <w:rPr>
                <w:rFonts w:ascii="Arial" w:hAnsi="Arial" w:cs="Arial"/>
                <w:b/>
              </w:rPr>
            </w:pPr>
            <w:r>
              <w:rPr>
                <w:rFonts w:ascii="Arial" w:hAnsi="Arial" w:cs="Arial"/>
                <w:b/>
              </w:rPr>
              <w:t>40</w:t>
            </w:r>
          </w:p>
        </w:tc>
        <w:tc>
          <w:tcPr>
            <w:tcW w:w="1559" w:type="dxa"/>
            <w:shd w:val="clear" w:color="auto" w:fill="4F81BD" w:themeFill="accent1"/>
            <w:vAlign w:val="bottom"/>
          </w:tcPr>
          <w:p w:rsidR="00C128EE" w:rsidRPr="004C1A79" w:rsidRDefault="00530C6A" w:rsidP="005C46BA">
            <w:pPr>
              <w:jc w:val="right"/>
              <w:rPr>
                <w:rFonts w:ascii="Arial" w:hAnsi="Arial" w:cs="Arial"/>
                <w:b/>
              </w:rPr>
            </w:pPr>
            <w:r>
              <w:rPr>
                <w:rFonts w:ascii="Arial" w:hAnsi="Arial" w:cs="Arial"/>
                <w:b/>
              </w:rPr>
              <w:t>618</w:t>
            </w:r>
          </w:p>
        </w:tc>
        <w:tc>
          <w:tcPr>
            <w:tcW w:w="1558" w:type="dxa"/>
            <w:shd w:val="clear" w:color="auto" w:fill="4F81BD" w:themeFill="accent1"/>
            <w:vAlign w:val="bottom"/>
          </w:tcPr>
          <w:p w:rsidR="00C128EE" w:rsidRPr="004C1A79" w:rsidRDefault="0046274E" w:rsidP="00530C6A">
            <w:pPr>
              <w:jc w:val="right"/>
              <w:rPr>
                <w:rFonts w:ascii="Arial" w:hAnsi="Arial" w:cs="Arial"/>
                <w:b/>
              </w:rPr>
            </w:pPr>
            <w:r>
              <w:rPr>
                <w:rFonts w:ascii="Arial" w:hAnsi="Arial" w:cs="Arial"/>
                <w:b/>
              </w:rPr>
              <w:t>(</w:t>
            </w:r>
            <w:r w:rsidR="00530C6A">
              <w:rPr>
                <w:rFonts w:ascii="Arial" w:hAnsi="Arial" w:cs="Arial"/>
                <w:b/>
              </w:rPr>
              <w:t>45</w:t>
            </w:r>
            <w:r w:rsidR="00C128EE" w:rsidRPr="004C1A79">
              <w:rPr>
                <w:rFonts w:ascii="Arial" w:hAnsi="Arial" w:cs="Arial"/>
                <w:b/>
              </w:rPr>
              <w:t>)</w:t>
            </w:r>
          </w:p>
        </w:tc>
        <w:tc>
          <w:tcPr>
            <w:tcW w:w="1561" w:type="dxa"/>
            <w:shd w:val="clear" w:color="auto" w:fill="4F81BD" w:themeFill="accent1"/>
            <w:vAlign w:val="bottom"/>
          </w:tcPr>
          <w:p w:rsidR="00C128EE" w:rsidRPr="004C1A79" w:rsidRDefault="00530C6A" w:rsidP="005C46BA">
            <w:pPr>
              <w:jc w:val="right"/>
              <w:rPr>
                <w:rFonts w:ascii="Arial" w:hAnsi="Arial" w:cs="Arial"/>
                <w:b/>
              </w:rPr>
            </w:pPr>
            <w:r>
              <w:rPr>
                <w:rFonts w:ascii="Arial" w:hAnsi="Arial" w:cs="Arial"/>
                <w:b/>
              </w:rPr>
              <w:t>613</w:t>
            </w:r>
          </w:p>
        </w:tc>
      </w:tr>
      <w:tr w:rsidR="00C128EE" w:rsidRPr="00D61E3B" w:rsidTr="00B762F5">
        <w:tc>
          <w:tcPr>
            <w:tcW w:w="3261" w:type="dxa"/>
            <w:tcBorders>
              <w:top w:val="single" w:sz="6" w:space="0" w:color="auto"/>
              <w:left w:val="single" w:sz="6" w:space="0" w:color="auto"/>
              <w:bottom w:val="single" w:sz="6" w:space="0" w:color="auto"/>
              <w:right w:val="single" w:sz="6" w:space="0" w:color="auto"/>
            </w:tcBorders>
            <w:shd w:val="clear" w:color="auto" w:fill="4F81BD" w:themeFill="accent1"/>
          </w:tcPr>
          <w:p w:rsidR="00C128EE" w:rsidRPr="00D61E3B" w:rsidRDefault="00C128EE" w:rsidP="005C46BA">
            <w:pPr>
              <w:pStyle w:val="Header"/>
              <w:tabs>
                <w:tab w:val="clear" w:pos="4153"/>
                <w:tab w:val="clear" w:pos="8306"/>
              </w:tabs>
              <w:rPr>
                <w:rFonts w:cs="Arial"/>
                <w:b/>
              </w:rPr>
            </w:pPr>
            <w:r w:rsidRPr="00D61E3B">
              <w:rPr>
                <w:rFonts w:cs="Arial"/>
                <w:b/>
              </w:rPr>
              <w:t xml:space="preserve">Total </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C128EE" w:rsidRPr="00D61E3B" w:rsidRDefault="00530C6A" w:rsidP="005C46BA">
            <w:pPr>
              <w:jc w:val="right"/>
              <w:rPr>
                <w:rFonts w:ascii="Arial" w:hAnsi="Arial" w:cs="Arial"/>
                <w:b/>
              </w:rPr>
            </w:pPr>
            <w:r>
              <w:rPr>
                <w:rFonts w:ascii="Arial" w:hAnsi="Arial" w:cs="Arial"/>
                <w:b/>
              </w:rPr>
              <w:t>(91</w:t>
            </w:r>
            <w:r w:rsidR="00C128EE">
              <w:rPr>
                <w:rFonts w:ascii="Arial" w:hAnsi="Arial" w:cs="Arial"/>
                <w:b/>
              </w:rPr>
              <w: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C128EE" w:rsidRPr="00D61E3B" w:rsidRDefault="00530C6A" w:rsidP="00530C6A">
            <w:pPr>
              <w:jc w:val="right"/>
              <w:rPr>
                <w:rFonts w:ascii="Arial" w:hAnsi="Arial" w:cs="Arial"/>
                <w:b/>
              </w:rPr>
            </w:pPr>
            <w:r>
              <w:rPr>
                <w:rFonts w:ascii="Arial" w:hAnsi="Arial" w:cs="Arial"/>
                <w:b/>
              </w:rPr>
              <w:t>688</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C128EE" w:rsidRPr="00D61E3B" w:rsidRDefault="00C128EE" w:rsidP="0046274E">
            <w:pPr>
              <w:jc w:val="right"/>
              <w:rPr>
                <w:rFonts w:ascii="Arial" w:hAnsi="Arial" w:cs="Arial"/>
                <w:b/>
              </w:rPr>
            </w:pPr>
            <w:r w:rsidRPr="00D61E3B">
              <w:rPr>
                <w:rFonts w:ascii="Arial" w:hAnsi="Arial" w:cs="Arial"/>
                <w:b/>
              </w:rPr>
              <w:t>(</w:t>
            </w:r>
            <w:r>
              <w:rPr>
                <w:rFonts w:ascii="Arial" w:hAnsi="Arial" w:cs="Arial"/>
                <w:b/>
              </w:rPr>
              <w:t>1</w:t>
            </w:r>
            <w:r w:rsidR="00530C6A">
              <w:rPr>
                <w:rFonts w:ascii="Arial" w:hAnsi="Arial" w:cs="Arial"/>
                <w:b/>
              </w:rPr>
              <w:t>70</w:t>
            </w:r>
            <w:r w:rsidRPr="00D61E3B">
              <w:rPr>
                <w:rFonts w:ascii="Arial" w:hAnsi="Arial" w:cs="Arial"/>
                <w:b/>
              </w:rPr>
              <w:t>)</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rsidR="00C128EE" w:rsidRPr="00D61E3B" w:rsidRDefault="00530C6A" w:rsidP="0046274E">
            <w:pPr>
              <w:jc w:val="right"/>
              <w:rPr>
                <w:rFonts w:ascii="Arial" w:hAnsi="Arial" w:cs="Arial"/>
                <w:b/>
              </w:rPr>
            </w:pPr>
            <w:r>
              <w:rPr>
                <w:rFonts w:ascii="Arial" w:hAnsi="Arial" w:cs="Arial"/>
                <w:b/>
              </w:rPr>
              <w:t>427</w:t>
            </w:r>
          </w:p>
        </w:tc>
      </w:tr>
    </w:tbl>
    <w:p w:rsidR="00EE0770" w:rsidRDefault="00EE0770" w:rsidP="00EE0770">
      <w:pPr>
        <w:pStyle w:val="ListParagraph"/>
      </w:pPr>
    </w:p>
    <w:p w:rsidR="00EE0770" w:rsidRDefault="004B01CC" w:rsidP="00343C21">
      <w:pPr>
        <w:pStyle w:val="Header"/>
        <w:numPr>
          <w:ilvl w:val="1"/>
          <w:numId w:val="2"/>
        </w:numPr>
        <w:tabs>
          <w:tab w:val="clear" w:pos="4153"/>
          <w:tab w:val="clear" w:pos="8306"/>
        </w:tabs>
        <w:ind w:hanging="720"/>
      </w:pPr>
      <w:r>
        <w:t xml:space="preserve">Additional funding for business rate adjustments done by the valuation office during the year </w:t>
      </w:r>
      <w:r w:rsidR="007C3D37">
        <w:t>is</w:t>
      </w:r>
      <w:r>
        <w:t xml:space="preserve"> provided to schools during the year</w:t>
      </w:r>
      <w:r w:rsidR="0023442C">
        <w:t>.</w:t>
      </w:r>
      <w:r>
        <w:t xml:space="preserve"> Based on current information we expect this to overspend in the region of £250k.</w:t>
      </w:r>
    </w:p>
    <w:p w:rsidR="004B01CC" w:rsidRDefault="004B01CC" w:rsidP="004B01CC">
      <w:pPr>
        <w:pStyle w:val="Header"/>
        <w:tabs>
          <w:tab w:val="clear" w:pos="4153"/>
          <w:tab w:val="clear" w:pos="8306"/>
        </w:tabs>
        <w:ind w:left="720"/>
      </w:pPr>
    </w:p>
    <w:p w:rsidR="004B01CC" w:rsidRDefault="004B01CC" w:rsidP="00343C21">
      <w:pPr>
        <w:pStyle w:val="Header"/>
        <w:numPr>
          <w:ilvl w:val="1"/>
          <w:numId w:val="2"/>
        </w:numPr>
        <w:tabs>
          <w:tab w:val="clear" w:pos="4153"/>
          <w:tab w:val="clear" w:pos="8306"/>
        </w:tabs>
        <w:ind w:hanging="720"/>
      </w:pPr>
      <w:r>
        <w:t xml:space="preserve">The bulge class budget for 2016/17 will underspend by £400k. This is due to a reduction in </w:t>
      </w:r>
      <w:r w:rsidR="00F60F1C">
        <w:t xml:space="preserve">primary </w:t>
      </w:r>
      <w:r>
        <w:t xml:space="preserve">bulge classes required to be funded as the number of </w:t>
      </w:r>
      <w:r w:rsidR="00F60F1C">
        <w:t xml:space="preserve">primary </w:t>
      </w:r>
      <w:r>
        <w:t>pupils stabilise.</w:t>
      </w:r>
    </w:p>
    <w:p w:rsidR="004B01CC" w:rsidRDefault="004B01CC" w:rsidP="004B01CC">
      <w:pPr>
        <w:pStyle w:val="Header"/>
        <w:tabs>
          <w:tab w:val="clear" w:pos="4153"/>
          <w:tab w:val="clear" w:pos="8306"/>
        </w:tabs>
        <w:ind w:left="720"/>
      </w:pPr>
    </w:p>
    <w:p w:rsidR="00B43AD2" w:rsidRDefault="00B43AD2" w:rsidP="00343C21">
      <w:pPr>
        <w:pStyle w:val="Header"/>
        <w:numPr>
          <w:ilvl w:val="1"/>
          <w:numId w:val="2"/>
        </w:numPr>
        <w:tabs>
          <w:tab w:val="clear" w:pos="4153"/>
          <w:tab w:val="clear" w:pos="8306"/>
        </w:tabs>
        <w:ind w:hanging="720"/>
      </w:pPr>
      <w:r>
        <w:t>SEN statement/EHC plan payments</w:t>
      </w:r>
      <w:r w:rsidR="005C1000">
        <w:t xml:space="preserve"> to Merton maintained schools </w:t>
      </w:r>
      <w:r>
        <w:t>are estimated to overspend by £70k. This is based on information available as at December and will fluctuate with changes identified by schools and other Local Authorities</w:t>
      </w:r>
      <w:r w:rsidR="004B01CC">
        <w:t xml:space="preserve"> towards year-end. Any new statements/EHCPs</w:t>
      </w:r>
      <w:r>
        <w:t xml:space="preserve"> </w:t>
      </w:r>
      <w:r w:rsidR="004B01CC">
        <w:t xml:space="preserve">processed will also </w:t>
      </w:r>
      <w:r w:rsidR="00845D6B">
        <w:t>affect</w:t>
      </w:r>
      <w:r w:rsidR="004B01CC">
        <w:t xml:space="preserve"> this estimate.</w:t>
      </w:r>
    </w:p>
    <w:p w:rsidR="00BC605B" w:rsidRDefault="00BC605B" w:rsidP="00BC605B">
      <w:pPr>
        <w:pStyle w:val="Header"/>
        <w:tabs>
          <w:tab w:val="clear" w:pos="4153"/>
          <w:tab w:val="clear" w:pos="8306"/>
        </w:tabs>
        <w:ind w:left="720"/>
      </w:pPr>
    </w:p>
    <w:p w:rsidR="00BC605B" w:rsidRDefault="00BC605B" w:rsidP="00343C21">
      <w:pPr>
        <w:pStyle w:val="Header"/>
        <w:numPr>
          <w:ilvl w:val="1"/>
          <w:numId w:val="2"/>
        </w:numPr>
        <w:tabs>
          <w:tab w:val="clear" w:pos="4153"/>
          <w:tab w:val="clear" w:pos="8306"/>
        </w:tabs>
        <w:ind w:hanging="720"/>
      </w:pPr>
      <w:r>
        <w:t>The Early Years Funding Formula for three and four year old pupils is expected t</w:t>
      </w:r>
      <w:r w:rsidR="00B43AD2">
        <w:t>o underspend by an estimated £125</w:t>
      </w:r>
      <w:r>
        <w:t xml:space="preserve">k. This amount will be confirmed </w:t>
      </w:r>
      <w:r w:rsidR="00B43AD2">
        <w:t xml:space="preserve">in June 2017 </w:t>
      </w:r>
      <w:r>
        <w:t xml:space="preserve">once </w:t>
      </w:r>
      <w:r w:rsidR="00B43AD2">
        <w:t>the final January census information has been processed and the grant re-calculated by the Education Funding Agency.</w:t>
      </w:r>
    </w:p>
    <w:p w:rsidR="005040BF" w:rsidRDefault="005040BF" w:rsidP="005040BF">
      <w:pPr>
        <w:pStyle w:val="ListParagraph"/>
      </w:pPr>
    </w:p>
    <w:p w:rsidR="005040BF" w:rsidRDefault="00F44A44" w:rsidP="005040BF">
      <w:pPr>
        <w:pStyle w:val="Header"/>
        <w:numPr>
          <w:ilvl w:val="1"/>
          <w:numId w:val="2"/>
        </w:numPr>
        <w:tabs>
          <w:tab w:val="clear" w:pos="4153"/>
          <w:tab w:val="clear" w:pos="8306"/>
        </w:tabs>
        <w:ind w:hanging="720"/>
      </w:pPr>
      <w:r>
        <w:t xml:space="preserve">The parenting cover budget is expected to overspend by £127k due to a </w:t>
      </w:r>
      <w:r w:rsidR="005040BF" w:rsidRPr="005040BF">
        <w:t>high volume of maternity cases this year</w:t>
      </w:r>
      <w:r>
        <w:t>.</w:t>
      </w:r>
    </w:p>
    <w:p w:rsidR="00F44A44" w:rsidRDefault="00F44A44" w:rsidP="00F44A44">
      <w:pPr>
        <w:pStyle w:val="ListParagraph"/>
      </w:pPr>
    </w:p>
    <w:p w:rsidR="00F44A44" w:rsidRDefault="00184291" w:rsidP="005040BF">
      <w:pPr>
        <w:pStyle w:val="Header"/>
        <w:numPr>
          <w:ilvl w:val="1"/>
          <w:numId w:val="2"/>
        </w:numPr>
        <w:tabs>
          <w:tab w:val="clear" w:pos="4153"/>
          <w:tab w:val="clear" w:pos="8306"/>
        </w:tabs>
        <w:ind w:hanging="720"/>
      </w:pPr>
      <w:r>
        <w:lastRenderedPageBreak/>
        <w:t>The budget for SEN children placed in maintained schools out of Merton is expected to overspend by £246k.</w:t>
      </w:r>
    </w:p>
    <w:p w:rsidR="002A58DA" w:rsidRDefault="002A58DA" w:rsidP="002A58DA">
      <w:pPr>
        <w:pStyle w:val="ListParagraph"/>
      </w:pPr>
    </w:p>
    <w:p w:rsidR="000140C2" w:rsidRDefault="000140C2" w:rsidP="000140C2">
      <w:pPr>
        <w:pStyle w:val="Header"/>
        <w:numPr>
          <w:ilvl w:val="1"/>
          <w:numId w:val="2"/>
        </w:numPr>
        <w:tabs>
          <w:tab w:val="clear" w:pos="4153"/>
          <w:tab w:val="clear" w:pos="8306"/>
        </w:tabs>
        <w:ind w:hanging="720"/>
      </w:pPr>
      <w:r w:rsidRPr="00DD1476">
        <w:rPr>
          <w:szCs w:val="24"/>
        </w:rPr>
        <w:t xml:space="preserve">The </w:t>
      </w:r>
      <w:r w:rsidR="00374717" w:rsidRPr="00DD1476">
        <w:rPr>
          <w:szCs w:val="24"/>
        </w:rPr>
        <w:t>independent</w:t>
      </w:r>
      <w:r w:rsidRPr="00DD1476">
        <w:rPr>
          <w:szCs w:val="24"/>
        </w:rPr>
        <w:t xml:space="preserve"> day school provision is estimated to overspend by £</w:t>
      </w:r>
      <w:r w:rsidR="00DD1476" w:rsidRPr="00DD1476">
        <w:rPr>
          <w:szCs w:val="24"/>
        </w:rPr>
        <w:t>684</w:t>
      </w:r>
      <w:r w:rsidRPr="00DD1476">
        <w:rPr>
          <w:szCs w:val="24"/>
        </w:rPr>
        <w:t xml:space="preserve">k. </w:t>
      </w:r>
      <w:r w:rsidRPr="00DD1476">
        <w:t>The number of students placed in this type of provision</w:t>
      </w:r>
      <w:r>
        <w:t xml:space="preserve"> has </w:t>
      </w:r>
      <w:r w:rsidR="00580DE7">
        <w:t xml:space="preserve">steadily </w:t>
      </w:r>
      <w:r>
        <w:t>increased over the past few years as detailed in the table below.</w:t>
      </w:r>
    </w:p>
    <w:p w:rsidR="0046274E" w:rsidRDefault="0046274E" w:rsidP="0046274E">
      <w:pPr>
        <w:pStyle w:val="Header"/>
        <w:tabs>
          <w:tab w:val="clear" w:pos="4153"/>
          <w:tab w:val="clear" w:pos="8306"/>
        </w:tabs>
      </w:pPr>
    </w:p>
    <w:tbl>
      <w:tblPr>
        <w:tblW w:w="3872" w:type="dxa"/>
        <w:tblInd w:w="2615" w:type="dxa"/>
        <w:tblCellMar>
          <w:left w:w="0" w:type="dxa"/>
          <w:right w:w="0" w:type="dxa"/>
        </w:tblCellMar>
        <w:tblLook w:val="04A0" w:firstRow="1" w:lastRow="0" w:firstColumn="1" w:lastColumn="0" w:noHBand="0" w:noVBand="1"/>
      </w:tblPr>
      <w:tblGrid>
        <w:gridCol w:w="960"/>
        <w:gridCol w:w="1636"/>
        <w:gridCol w:w="1276"/>
      </w:tblGrid>
      <w:tr w:rsidR="000140C2" w:rsidRPr="00724675" w:rsidTr="00374717">
        <w:trPr>
          <w:trHeight w:val="315"/>
        </w:trPr>
        <w:tc>
          <w:tcPr>
            <w:tcW w:w="960" w:type="dxa"/>
            <w:tcBorders>
              <w:top w:val="single" w:sz="8" w:space="0" w:color="auto"/>
              <w:left w:val="single" w:sz="8" w:space="0" w:color="auto"/>
              <w:bottom w:val="single" w:sz="8" w:space="0" w:color="auto"/>
              <w:right w:val="nil"/>
            </w:tcBorders>
            <w:shd w:val="clear" w:color="auto" w:fill="4F81BD" w:themeFill="accent1"/>
            <w:noWrap/>
            <w:tcMar>
              <w:top w:w="0" w:type="dxa"/>
              <w:left w:w="108" w:type="dxa"/>
              <w:bottom w:w="0" w:type="dxa"/>
              <w:right w:w="108" w:type="dxa"/>
            </w:tcMar>
            <w:vAlign w:val="bottom"/>
            <w:hideMark/>
          </w:tcPr>
          <w:p w:rsidR="000140C2" w:rsidRPr="00724675" w:rsidRDefault="000140C2" w:rsidP="000140C2">
            <w:pPr>
              <w:rPr>
                <w:rFonts w:ascii="Arial" w:eastAsia="Calibri" w:hAnsi="Arial" w:cs="Arial"/>
                <w:b/>
                <w:color w:val="000000"/>
                <w:sz w:val="22"/>
                <w:szCs w:val="22"/>
                <w:lang w:eastAsia="en-GB"/>
              </w:rPr>
            </w:pPr>
            <w:r w:rsidRPr="00724675">
              <w:rPr>
                <w:rFonts w:ascii="Arial" w:hAnsi="Arial" w:cs="Arial"/>
                <w:b/>
                <w:color w:val="000000"/>
                <w:lang w:eastAsia="en-GB"/>
              </w:rPr>
              <w:t> </w:t>
            </w:r>
          </w:p>
        </w:tc>
        <w:tc>
          <w:tcPr>
            <w:tcW w:w="1636" w:type="dxa"/>
            <w:tcBorders>
              <w:top w:val="single" w:sz="8" w:space="0" w:color="auto"/>
              <w:left w:val="single" w:sz="8" w:space="0" w:color="auto"/>
              <w:bottom w:val="single" w:sz="8" w:space="0" w:color="auto"/>
              <w:right w:val="single" w:sz="8" w:space="0" w:color="auto"/>
            </w:tcBorders>
            <w:shd w:val="clear" w:color="auto" w:fill="4F81BD" w:themeFill="accent1"/>
            <w:noWrap/>
            <w:tcMar>
              <w:top w:w="0" w:type="dxa"/>
              <w:left w:w="108" w:type="dxa"/>
              <w:bottom w:w="0" w:type="dxa"/>
              <w:right w:w="108" w:type="dxa"/>
            </w:tcMar>
            <w:vAlign w:val="bottom"/>
            <w:hideMark/>
          </w:tcPr>
          <w:p w:rsidR="000140C2" w:rsidRDefault="000140C2" w:rsidP="000140C2">
            <w:pPr>
              <w:jc w:val="center"/>
              <w:rPr>
                <w:rFonts w:ascii="Arial" w:hAnsi="Arial" w:cs="Arial"/>
                <w:b/>
                <w:color w:val="000000"/>
                <w:lang w:eastAsia="en-GB"/>
              </w:rPr>
            </w:pPr>
            <w:r w:rsidRPr="00724675">
              <w:rPr>
                <w:rFonts w:ascii="Arial" w:hAnsi="Arial" w:cs="Arial"/>
                <w:b/>
                <w:color w:val="000000"/>
                <w:lang w:eastAsia="en-GB"/>
              </w:rPr>
              <w:t>Expenditure</w:t>
            </w:r>
          </w:p>
          <w:p w:rsidR="000140C2" w:rsidRPr="00724675" w:rsidRDefault="000140C2" w:rsidP="000140C2">
            <w:pPr>
              <w:jc w:val="center"/>
              <w:rPr>
                <w:rFonts w:ascii="Arial" w:eastAsia="Calibri" w:hAnsi="Arial" w:cs="Arial"/>
                <w:b/>
                <w:color w:val="000000"/>
                <w:sz w:val="22"/>
                <w:szCs w:val="22"/>
                <w:lang w:eastAsia="en-GB"/>
              </w:rPr>
            </w:pPr>
            <w:r>
              <w:rPr>
                <w:rFonts w:ascii="Arial" w:hAnsi="Arial" w:cs="Arial"/>
                <w:b/>
                <w:color w:val="000000"/>
                <w:lang w:eastAsia="en-GB"/>
              </w:rPr>
              <w:t>£000</w:t>
            </w:r>
          </w:p>
        </w:tc>
        <w:tc>
          <w:tcPr>
            <w:tcW w:w="1276" w:type="dxa"/>
            <w:tcBorders>
              <w:top w:val="single" w:sz="8" w:space="0" w:color="auto"/>
              <w:left w:val="nil"/>
              <w:bottom w:val="single" w:sz="8" w:space="0" w:color="auto"/>
              <w:right w:val="single" w:sz="8" w:space="0" w:color="000000"/>
            </w:tcBorders>
            <w:shd w:val="clear" w:color="auto" w:fill="4F81BD" w:themeFill="accent1"/>
            <w:noWrap/>
            <w:tcMar>
              <w:top w:w="0" w:type="dxa"/>
              <w:left w:w="108" w:type="dxa"/>
              <w:bottom w:w="0" w:type="dxa"/>
              <w:right w:w="108" w:type="dxa"/>
            </w:tcMar>
            <w:vAlign w:val="bottom"/>
            <w:hideMark/>
          </w:tcPr>
          <w:p w:rsidR="000140C2" w:rsidRPr="00724675" w:rsidRDefault="000140C2" w:rsidP="000140C2">
            <w:pPr>
              <w:rPr>
                <w:rFonts w:ascii="Arial" w:eastAsia="Calibri" w:hAnsi="Arial" w:cs="Arial"/>
                <w:b/>
                <w:color w:val="000000"/>
                <w:sz w:val="22"/>
                <w:szCs w:val="22"/>
                <w:lang w:eastAsia="en-GB"/>
              </w:rPr>
            </w:pPr>
            <w:r w:rsidRPr="00724675">
              <w:rPr>
                <w:rFonts w:ascii="Arial" w:hAnsi="Arial" w:cs="Arial"/>
                <w:b/>
                <w:color w:val="000000"/>
                <w:lang w:eastAsia="en-GB"/>
              </w:rPr>
              <w:t>Pupil Numbers</w:t>
            </w:r>
          </w:p>
        </w:tc>
      </w:tr>
      <w:tr w:rsidR="000140C2" w:rsidRPr="00865827" w:rsidTr="00374717">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0140C2" w:rsidRPr="00865827" w:rsidRDefault="000140C2" w:rsidP="000140C2">
            <w:pPr>
              <w:jc w:val="center"/>
              <w:rPr>
                <w:rFonts w:ascii="Arial" w:eastAsia="Calibri" w:hAnsi="Arial" w:cs="Arial"/>
                <w:b/>
                <w:bCs/>
                <w:color w:val="000000"/>
                <w:sz w:val="22"/>
                <w:szCs w:val="22"/>
                <w:lang w:eastAsia="en-GB"/>
              </w:rPr>
            </w:pPr>
            <w:r w:rsidRPr="00865827">
              <w:rPr>
                <w:rFonts w:ascii="Arial" w:hAnsi="Arial" w:cs="Arial"/>
                <w:b/>
                <w:bCs/>
                <w:color w:val="000000"/>
                <w:lang w:eastAsia="en-GB"/>
              </w:rPr>
              <w:t>12/13</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right"/>
              <w:rPr>
                <w:rFonts w:ascii="Arial" w:eastAsia="Calibri" w:hAnsi="Arial" w:cs="Arial"/>
                <w:color w:val="000000"/>
                <w:sz w:val="22"/>
                <w:szCs w:val="22"/>
                <w:lang w:eastAsia="en-GB"/>
              </w:rPr>
            </w:pPr>
            <w:r w:rsidRPr="00865827">
              <w:rPr>
                <w:rFonts w:ascii="Arial" w:hAnsi="Arial" w:cs="Arial"/>
                <w:color w:val="000000"/>
                <w:lang w:eastAsia="en-GB"/>
              </w:rPr>
              <w:t>£2,37</w:t>
            </w:r>
            <w:r>
              <w:rPr>
                <w:rFonts w:ascii="Arial" w:hAnsi="Arial" w:cs="Arial"/>
                <w:color w:val="000000"/>
                <w:lang w:eastAsia="en-GB"/>
              </w:rPr>
              <w:t>2</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center"/>
              <w:rPr>
                <w:rFonts w:ascii="Arial" w:eastAsia="Calibri" w:hAnsi="Arial" w:cs="Arial"/>
                <w:color w:val="000000"/>
                <w:sz w:val="22"/>
                <w:szCs w:val="22"/>
                <w:lang w:eastAsia="en-GB"/>
              </w:rPr>
            </w:pPr>
            <w:r w:rsidRPr="00865827">
              <w:rPr>
                <w:rFonts w:ascii="Arial" w:hAnsi="Arial" w:cs="Arial"/>
                <w:color w:val="000000"/>
                <w:lang w:eastAsia="en-GB"/>
              </w:rPr>
              <w:t>69</w:t>
            </w:r>
          </w:p>
        </w:tc>
      </w:tr>
      <w:tr w:rsidR="000140C2" w:rsidRPr="00865827" w:rsidTr="00374717">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center"/>
              <w:rPr>
                <w:rFonts w:ascii="Arial" w:eastAsia="Calibri" w:hAnsi="Arial" w:cs="Arial"/>
                <w:b/>
                <w:bCs/>
                <w:color w:val="000000"/>
                <w:sz w:val="22"/>
                <w:szCs w:val="22"/>
                <w:lang w:eastAsia="en-GB"/>
              </w:rPr>
            </w:pPr>
            <w:r w:rsidRPr="00865827">
              <w:rPr>
                <w:rFonts w:ascii="Arial" w:hAnsi="Arial" w:cs="Arial"/>
                <w:b/>
                <w:bCs/>
                <w:color w:val="000000"/>
                <w:lang w:eastAsia="en-GB"/>
              </w:rPr>
              <w:t>13/14</w:t>
            </w:r>
          </w:p>
        </w:tc>
        <w:tc>
          <w:tcPr>
            <w:tcW w:w="163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right"/>
              <w:rPr>
                <w:rFonts w:ascii="Arial" w:eastAsia="Calibri" w:hAnsi="Arial" w:cs="Arial"/>
                <w:color w:val="000000"/>
                <w:sz w:val="22"/>
                <w:szCs w:val="22"/>
                <w:lang w:eastAsia="en-GB"/>
              </w:rPr>
            </w:pPr>
            <w:r w:rsidRPr="00865827">
              <w:rPr>
                <w:rFonts w:ascii="Arial" w:hAnsi="Arial" w:cs="Arial"/>
                <w:color w:val="000000"/>
                <w:lang w:eastAsia="en-GB"/>
              </w:rPr>
              <w:t>£2,82</w:t>
            </w:r>
            <w:r>
              <w:rPr>
                <w:rFonts w:ascii="Arial" w:hAnsi="Arial" w:cs="Arial"/>
                <w:color w:val="000000"/>
                <w:lang w:eastAsia="en-GB"/>
              </w:rPr>
              <w:t>6</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865827" w:rsidRDefault="000140C2" w:rsidP="000140C2">
            <w:pPr>
              <w:jc w:val="center"/>
              <w:rPr>
                <w:rFonts w:ascii="Arial" w:eastAsia="Calibri" w:hAnsi="Arial" w:cs="Arial"/>
                <w:color w:val="000000"/>
                <w:sz w:val="22"/>
                <w:szCs w:val="22"/>
                <w:lang w:eastAsia="en-GB"/>
              </w:rPr>
            </w:pPr>
            <w:r w:rsidRPr="00865827">
              <w:rPr>
                <w:rFonts w:ascii="Arial" w:hAnsi="Arial" w:cs="Arial"/>
                <w:color w:val="000000"/>
                <w:lang w:eastAsia="en-GB"/>
              </w:rPr>
              <w:t>84</w:t>
            </w:r>
          </w:p>
        </w:tc>
      </w:tr>
      <w:tr w:rsidR="00580DE7" w:rsidRPr="00865827" w:rsidTr="004B454A">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580DE7" w:rsidRPr="00865827" w:rsidRDefault="00580DE7" w:rsidP="004B454A">
            <w:pPr>
              <w:jc w:val="center"/>
              <w:rPr>
                <w:rFonts w:ascii="Arial" w:eastAsia="Calibri" w:hAnsi="Arial" w:cs="Arial"/>
                <w:b/>
                <w:bCs/>
                <w:color w:val="000000"/>
                <w:sz w:val="22"/>
                <w:szCs w:val="22"/>
                <w:lang w:eastAsia="en-GB"/>
              </w:rPr>
            </w:pPr>
            <w:r w:rsidRPr="00865827">
              <w:rPr>
                <w:rFonts w:ascii="Arial" w:hAnsi="Arial" w:cs="Arial"/>
                <w:b/>
                <w:bCs/>
                <w:color w:val="000000"/>
                <w:lang w:eastAsia="en-GB"/>
              </w:rPr>
              <w:t>14/15</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80DE7" w:rsidRPr="00865827" w:rsidRDefault="00580DE7" w:rsidP="004B454A">
            <w:pPr>
              <w:jc w:val="right"/>
              <w:rPr>
                <w:rFonts w:ascii="Arial" w:eastAsia="Calibri" w:hAnsi="Arial" w:cs="Arial"/>
                <w:color w:val="000000"/>
                <w:sz w:val="22"/>
                <w:szCs w:val="22"/>
                <w:lang w:eastAsia="en-GB"/>
              </w:rPr>
            </w:pPr>
            <w:r>
              <w:rPr>
                <w:rFonts w:ascii="Arial" w:hAnsi="Arial" w:cs="Arial"/>
                <w:color w:val="000000"/>
                <w:lang w:eastAsia="en-GB"/>
              </w:rPr>
              <w:t>£3,6</w:t>
            </w:r>
            <w:r w:rsidR="000C1D8C">
              <w:rPr>
                <w:rFonts w:ascii="Arial" w:hAnsi="Arial" w:cs="Arial"/>
                <w:color w:val="000000"/>
                <w:lang w:eastAsia="en-GB"/>
              </w:rPr>
              <w:t>34</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80DE7" w:rsidRPr="00865827" w:rsidRDefault="00580DE7" w:rsidP="004B454A">
            <w:pPr>
              <w:jc w:val="center"/>
              <w:rPr>
                <w:rFonts w:ascii="Arial" w:eastAsia="Calibri" w:hAnsi="Arial" w:cs="Arial"/>
                <w:color w:val="000000"/>
                <w:sz w:val="22"/>
                <w:szCs w:val="22"/>
                <w:lang w:eastAsia="en-GB"/>
              </w:rPr>
            </w:pPr>
            <w:r>
              <w:rPr>
                <w:rFonts w:ascii="Arial" w:hAnsi="Arial" w:cs="Arial"/>
                <w:color w:val="000000"/>
                <w:lang w:eastAsia="en-GB"/>
              </w:rPr>
              <w:t>9</w:t>
            </w:r>
            <w:r w:rsidR="000C1D8C">
              <w:rPr>
                <w:rFonts w:ascii="Arial" w:hAnsi="Arial" w:cs="Arial"/>
                <w:color w:val="000000"/>
                <w:lang w:eastAsia="en-GB"/>
              </w:rPr>
              <w:t>7</w:t>
            </w:r>
          </w:p>
        </w:tc>
      </w:tr>
      <w:tr w:rsidR="009E4340" w:rsidRPr="00865827" w:rsidTr="00735498">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9E4340" w:rsidRPr="00865827" w:rsidRDefault="009E4340" w:rsidP="00735498">
            <w:pPr>
              <w:jc w:val="center"/>
              <w:rPr>
                <w:rFonts w:ascii="Arial" w:eastAsia="Calibri" w:hAnsi="Arial" w:cs="Arial"/>
                <w:b/>
                <w:bCs/>
                <w:color w:val="000000"/>
                <w:sz w:val="22"/>
                <w:szCs w:val="22"/>
                <w:lang w:eastAsia="en-GB"/>
              </w:rPr>
            </w:pPr>
            <w:r>
              <w:rPr>
                <w:rFonts w:ascii="Arial" w:hAnsi="Arial" w:cs="Arial"/>
                <w:b/>
                <w:bCs/>
                <w:color w:val="000000"/>
                <w:lang w:eastAsia="en-GB"/>
              </w:rPr>
              <w:t>15</w:t>
            </w:r>
            <w:r w:rsidRPr="00865827">
              <w:rPr>
                <w:rFonts w:ascii="Arial" w:hAnsi="Arial" w:cs="Arial"/>
                <w:b/>
                <w:bCs/>
                <w:color w:val="000000"/>
                <w:lang w:eastAsia="en-GB"/>
              </w:rPr>
              <w:t>/1</w:t>
            </w:r>
            <w:r>
              <w:rPr>
                <w:rFonts w:ascii="Arial" w:hAnsi="Arial" w:cs="Arial"/>
                <w:b/>
                <w:bCs/>
                <w:color w:val="000000"/>
                <w:lang w:eastAsia="en-GB"/>
              </w:rPr>
              <w:t>6</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E4340" w:rsidRPr="000C1D8C" w:rsidRDefault="009E4340" w:rsidP="00735498">
            <w:pPr>
              <w:jc w:val="right"/>
              <w:rPr>
                <w:rFonts w:ascii="Arial" w:hAnsi="Arial" w:cs="Arial"/>
                <w:color w:val="000000"/>
                <w:lang w:eastAsia="en-GB"/>
              </w:rPr>
            </w:pPr>
            <w:r w:rsidRPr="000C1D8C">
              <w:rPr>
                <w:rFonts w:ascii="Arial" w:hAnsi="Arial" w:cs="Arial"/>
                <w:color w:val="000000"/>
                <w:lang w:eastAsia="en-GB"/>
              </w:rPr>
              <w:t>£4,100</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9E4340" w:rsidRPr="000C1D8C" w:rsidRDefault="009E4340" w:rsidP="00735498">
            <w:pPr>
              <w:jc w:val="center"/>
              <w:rPr>
                <w:rFonts w:ascii="Arial" w:hAnsi="Arial" w:cs="Arial"/>
                <w:color w:val="000000"/>
                <w:lang w:eastAsia="en-GB"/>
              </w:rPr>
            </w:pPr>
            <w:r w:rsidRPr="000C1D8C">
              <w:rPr>
                <w:rFonts w:ascii="Arial" w:hAnsi="Arial" w:cs="Arial"/>
                <w:color w:val="000000"/>
                <w:lang w:eastAsia="en-GB"/>
              </w:rPr>
              <w:t>116</w:t>
            </w:r>
          </w:p>
        </w:tc>
      </w:tr>
      <w:tr w:rsidR="000140C2" w:rsidRPr="00865827" w:rsidTr="00374717">
        <w:trPr>
          <w:trHeight w:val="315"/>
        </w:trPr>
        <w:tc>
          <w:tcPr>
            <w:tcW w:w="960" w:type="dxa"/>
            <w:tcBorders>
              <w:top w:val="single" w:sz="8" w:space="0" w:color="auto"/>
              <w:left w:val="single" w:sz="8" w:space="0" w:color="auto"/>
              <w:bottom w:val="single" w:sz="8" w:space="0" w:color="auto"/>
              <w:right w:val="single" w:sz="8" w:space="0" w:color="000000"/>
            </w:tcBorders>
            <w:shd w:val="clear" w:color="auto" w:fill="auto"/>
            <w:noWrap/>
            <w:tcMar>
              <w:top w:w="0" w:type="dxa"/>
              <w:left w:w="108" w:type="dxa"/>
              <w:bottom w:w="0" w:type="dxa"/>
              <w:right w:w="108" w:type="dxa"/>
            </w:tcMar>
            <w:vAlign w:val="bottom"/>
            <w:hideMark/>
          </w:tcPr>
          <w:p w:rsidR="000140C2" w:rsidRPr="00865827" w:rsidRDefault="009E4340" w:rsidP="000140C2">
            <w:pPr>
              <w:jc w:val="center"/>
              <w:rPr>
                <w:rFonts w:ascii="Arial" w:eastAsia="Calibri" w:hAnsi="Arial" w:cs="Arial"/>
                <w:b/>
                <w:bCs/>
                <w:color w:val="000000"/>
                <w:sz w:val="22"/>
                <w:szCs w:val="22"/>
                <w:lang w:eastAsia="en-GB"/>
              </w:rPr>
            </w:pPr>
            <w:r>
              <w:rPr>
                <w:rFonts w:ascii="Arial" w:hAnsi="Arial" w:cs="Arial"/>
                <w:b/>
                <w:bCs/>
                <w:color w:val="000000"/>
                <w:lang w:eastAsia="en-GB"/>
              </w:rPr>
              <w:t>16</w:t>
            </w:r>
            <w:r w:rsidR="000140C2" w:rsidRPr="00865827">
              <w:rPr>
                <w:rFonts w:ascii="Arial" w:hAnsi="Arial" w:cs="Arial"/>
                <w:b/>
                <w:bCs/>
                <w:color w:val="000000"/>
                <w:lang w:eastAsia="en-GB"/>
              </w:rPr>
              <w:t>/1</w:t>
            </w:r>
            <w:r>
              <w:rPr>
                <w:rFonts w:ascii="Arial" w:hAnsi="Arial" w:cs="Arial"/>
                <w:b/>
                <w:bCs/>
                <w:color w:val="000000"/>
                <w:lang w:eastAsia="en-GB"/>
              </w:rPr>
              <w:t>7</w:t>
            </w:r>
          </w:p>
        </w:tc>
        <w:tc>
          <w:tcPr>
            <w:tcW w:w="1636" w:type="dxa"/>
            <w:tcBorders>
              <w:top w:val="single" w:sz="8" w:space="0" w:color="auto"/>
              <w:left w:val="single" w:sz="8" w:space="0" w:color="000000"/>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0C1D8C" w:rsidRDefault="0032100F" w:rsidP="003A3819">
            <w:pPr>
              <w:jc w:val="right"/>
              <w:rPr>
                <w:rFonts w:ascii="Arial" w:hAnsi="Arial" w:cs="Arial"/>
                <w:color w:val="000000"/>
                <w:lang w:eastAsia="en-GB"/>
              </w:rPr>
            </w:pPr>
            <w:r w:rsidRPr="000C1D8C">
              <w:rPr>
                <w:rFonts w:ascii="Arial" w:hAnsi="Arial" w:cs="Arial"/>
                <w:color w:val="000000"/>
                <w:lang w:eastAsia="en-GB"/>
              </w:rPr>
              <w:t>£4,</w:t>
            </w:r>
            <w:r w:rsidR="003A3819">
              <w:rPr>
                <w:rFonts w:ascii="Arial" w:hAnsi="Arial" w:cs="Arial"/>
                <w:color w:val="000000"/>
                <w:lang w:eastAsia="en-GB"/>
              </w:rPr>
              <w:t>754</w:t>
            </w:r>
          </w:p>
        </w:tc>
        <w:tc>
          <w:tcPr>
            <w:tcW w:w="1276"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0140C2" w:rsidRPr="000C1D8C" w:rsidRDefault="0032100F" w:rsidP="000C1D8C">
            <w:pPr>
              <w:jc w:val="center"/>
              <w:rPr>
                <w:rFonts w:ascii="Arial" w:hAnsi="Arial" w:cs="Arial"/>
                <w:color w:val="000000"/>
                <w:lang w:eastAsia="en-GB"/>
              </w:rPr>
            </w:pPr>
            <w:r w:rsidRPr="000C1D8C">
              <w:rPr>
                <w:rFonts w:ascii="Arial" w:hAnsi="Arial" w:cs="Arial"/>
                <w:color w:val="000000"/>
                <w:lang w:eastAsia="en-GB"/>
              </w:rPr>
              <w:t>1</w:t>
            </w:r>
            <w:r w:rsidR="003A3819">
              <w:rPr>
                <w:rFonts w:ascii="Arial" w:hAnsi="Arial" w:cs="Arial"/>
                <w:color w:val="000000"/>
                <w:lang w:eastAsia="en-GB"/>
              </w:rPr>
              <w:t>24</w:t>
            </w:r>
          </w:p>
        </w:tc>
      </w:tr>
    </w:tbl>
    <w:p w:rsidR="000140C2" w:rsidRDefault="000140C2" w:rsidP="000140C2">
      <w:pPr>
        <w:pStyle w:val="Header"/>
        <w:tabs>
          <w:tab w:val="clear" w:pos="4153"/>
          <w:tab w:val="clear" w:pos="8306"/>
        </w:tabs>
        <w:ind w:left="720"/>
      </w:pPr>
    </w:p>
    <w:p w:rsidR="00580DE7" w:rsidRDefault="00580DE7" w:rsidP="00580DE7">
      <w:pPr>
        <w:pStyle w:val="Header"/>
        <w:numPr>
          <w:ilvl w:val="1"/>
          <w:numId w:val="2"/>
        </w:numPr>
        <w:tabs>
          <w:tab w:val="clear" w:pos="4153"/>
          <w:tab w:val="clear" w:pos="8306"/>
        </w:tabs>
        <w:ind w:hanging="720"/>
      </w:pPr>
      <w:r>
        <w:t xml:space="preserve">The independent residential school provision </w:t>
      </w:r>
      <w:r w:rsidR="003A3819">
        <w:t>is expected to underspend by £15</w:t>
      </w:r>
      <w:r>
        <w:t>9k. This historic underspend has gone down over the past few years as the budget was used to fund other cost pressures in the DSG in order to maximise the funding left in the Schools Block to allocate to schools. Costs in this area had been kept down through tribunal outcomes in Merton’s favour.</w:t>
      </w:r>
    </w:p>
    <w:p w:rsidR="00580DE7" w:rsidRDefault="00580DE7" w:rsidP="00580DE7">
      <w:pPr>
        <w:pStyle w:val="ListParagraph"/>
      </w:pPr>
    </w:p>
    <w:p w:rsidR="00580DE7" w:rsidRPr="008177A8" w:rsidRDefault="00016282" w:rsidP="00580DE7">
      <w:pPr>
        <w:pStyle w:val="Header"/>
        <w:numPr>
          <w:ilvl w:val="1"/>
          <w:numId w:val="2"/>
        </w:numPr>
        <w:tabs>
          <w:tab w:val="clear" w:pos="4153"/>
          <w:tab w:val="clear" w:pos="8306"/>
        </w:tabs>
        <w:ind w:hanging="720"/>
      </w:pPr>
      <w:r>
        <w:t>SEN placements/EHC plan payments to Merton academies are expected to underspend by £145k</w:t>
      </w:r>
    </w:p>
    <w:p w:rsidR="008177A8" w:rsidRPr="008177A8" w:rsidRDefault="008177A8" w:rsidP="008177A8">
      <w:pPr>
        <w:pStyle w:val="Header"/>
        <w:tabs>
          <w:tab w:val="clear" w:pos="4153"/>
          <w:tab w:val="clear" w:pos="8306"/>
        </w:tabs>
        <w:ind w:left="720"/>
      </w:pPr>
    </w:p>
    <w:p w:rsidR="00F4301A" w:rsidRDefault="007E18A6" w:rsidP="00F12ABA">
      <w:pPr>
        <w:pStyle w:val="Header"/>
        <w:numPr>
          <w:ilvl w:val="1"/>
          <w:numId w:val="2"/>
        </w:numPr>
        <w:tabs>
          <w:tab w:val="clear" w:pos="4153"/>
          <w:tab w:val="clear" w:pos="8306"/>
        </w:tabs>
        <w:ind w:hanging="720"/>
      </w:pPr>
      <w:r>
        <w:rPr>
          <w:szCs w:val="24"/>
        </w:rPr>
        <w:t>There are various other small over and underspends predicted across the</w:t>
      </w:r>
      <w:r w:rsidR="002A58DA">
        <w:rPr>
          <w:szCs w:val="24"/>
        </w:rPr>
        <w:t xml:space="preserve"> DSG totalling</w:t>
      </w:r>
      <w:r w:rsidR="00580DE7">
        <w:rPr>
          <w:szCs w:val="24"/>
        </w:rPr>
        <w:t xml:space="preserve"> £</w:t>
      </w:r>
      <w:r w:rsidR="00C2019B">
        <w:rPr>
          <w:szCs w:val="24"/>
        </w:rPr>
        <w:t>140</w:t>
      </w:r>
      <w:r w:rsidR="00AD3C1F">
        <w:rPr>
          <w:szCs w:val="24"/>
        </w:rPr>
        <w:t>k und</w:t>
      </w:r>
      <w:r>
        <w:rPr>
          <w:szCs w:val="24"/>
        </w:rPr>
        <w:t>erspend. This, combine</w:t>
      </w:r>
      <w:r w:rsidR="00912D0D">
        <w:rPr>
          <w:szCs w:val="24"/>
        </w:rPr>
        <w:t>d</w:t>
      </w:r>
      <w:r>
        <w:rPr>
          <w:szCs w:val="24"/>
        </w:rPr>
        <w:t xml:space="preserve"> with the items described above, equals the repor</w:t>
      </w:r>
      <w:r w:rsidR="00C2019B">
        <w:rPr>
          <w:szCs w:val="24"/>
        </w:rPr>
        <w:t>ted over</w:t>
      </w:r>
      <w:r w:rsidR="00AD3C1F">
        <w:rPr>
          <w:szCs w:val="24"/>
        </w:rPr>
        <w:t>spend forecast of £</w:t>
      </w:r>
      <w:r w:rsidR="00C2019B">
        <w:rPr>
          <w:szCs w:val="24"/>
        </w:rPr>
        <w:t>427</w:t>
      </w:r>
      <w:r w:rsidR="00EA6779">
        <w:rPr>
          <w:szCs w:val="24"/>
        </w:rPr>
        <w:t>k</w:t>
      </w:r>
      <w:r>
        <w:rPr>
          <w:szCs w:val="24"/>
        </w:rPr>
        <w:t>.</w:t>
      </w:r>
    </w:p>
    <w:p w:rsidR="002E2DD2" w:rsidRDefault="002E2DD2">
      <w:pPr>
        <w:pStyle w:val="Header"/>
        <w:tabs>
          <w:tab w:val="clear" w:pos="4153"/>
          <w:tab w:val="clear" w:pos="8306"/>
        </w:tabs>
      </w:pPr>
    </w:p>
    <w:p w:rsidR="00904A8D" w:rsidRDefault="006D4054">
      <w:pPr>
        <w:pStyle w:val="Header"/>
        <w:numPr>
          <w:ilvl w:val="0"/>
          <w:numId w:val="2"/>
        </w:numPr>
        <w:tabs>
          <w:tab w:val="clear" w:pos="4153"/>
          <w:tab w:val="clear" w:pos="8306"/>
        </w:tabs>
        <w:ind w:hanging="720"/>
        <w:rPr>
          <w:rFonts w:cs="Arial"/>
          <w:b/>
          <w:bCs/>
          <w:sz w:val="28"/>
        </w:rPr>
      </w:pPr>
      <w:r>
        <w:rPr>
          <w:rFonts w:cs="Arial"/>
          <w:b/>
          <w:bCs/>
          <w:sz w:val="28"/>
        </w:rPr>
        <w:t>O</w:t>
      </w:r>
      <w:r w:rsidR="00904A8D">
        <w:rPr>
          <w:rFonts w:cs="Arial"/>
          <w:b/>
          <w:bCs/>
          <w:sz w:val="28"/>
        </w:rPr>
        <w:t>ptions</w:t>
      </w:r>
      <w:r>
        <w:rPr>
          <w:rFonts w:cs="Arial"/>
          <w:b/>
          <w:bCs/>
          <w:sz w:val="28"/>
        </w:rPr>
        <w:t xml:space="preserve"> for 2017/18 budget</w:t>
      </w:r>
    </w:p>
    <w:p w:rsidR="00904A8D" w:rsidRDefault="00904A8D">
      <w:pPr>
        <w:rPr>
          <w:rFonts w:ascii="Arial" w:hAnsi="Arial" w:cs="Arial"/>
        </w:rPr>
      </w:pPr>
    </w:p>
    <w:p w:rsidR="005A18BF" w:rsidRDefault="00364C3C" w:rsidP="00681E65">
      <w:pPr>
        <w:numPr>
          <w:ilvl w:val="0"/>
          <w:numId w:val="8"/>
        </w:numPr>
        <w:tabs>
          <w:tab w:val="clear" w:pos="927"/>
          <w:tab w:val="num" w:pos="720"/>
        </w:tabs>
        <w:ind w:left="720" w:hanging="720"/>
        <w:rPr>
          <w:rFonts w:ascii="Arial" w:hAnsi="Arial"/>
          <w:szCs w:val="20"/>
        </w:rPr>
      </w:pPr>
      <w:r>
        <w:rPr>
          <w:rFonts w:ascii="Arial" w:hAnsi="Arial"/>
          <w:szCs w:val="20"/>
        </w:rPr>
        <w:t>In order to address some of the over and underspends on individual budgets, the following transfers and changes were made to the 2017/18 budget:</w:t>
      </w:r>
    </w:p>
    <w:p w:rsidR="00331168" w:rsidRPr="00663DE7" w:rsidRDefault="00331168" w:rsidP="00331168">
      <w:pPr>
        <w:pStyle w:val="ListParagraph"/>
        <w:numPr>
          <w:ilvl w:val="0"/>
          <w:numId w:val="9"/>
        </w:numPr>
        <w:rPr>
          <w:rFonts w:ascii="Arial" w:hAnsi="Arial"/>
          <w:szCs w:val="20"/>
        </w:rPr>
      </w:pPr>
      <w:r w:rsidRPr="00663DE7">
        <w:rPr>
          <w:rFonts w:ascii="Arial" w:hAnsi="Arial"/>
          <w:szCs w:val="20"/>
        </w:rPr>
        <w:t>Transfer £100k of the Merton academy SEN statement/EHC plan budget to the Merton maintained school budget.</w:t>
      </w:r>
    </w:p>
    <w:p w:rsidR="00331168" w:rsidRDefault="00331168" w:rsidP="00331168">
      <w:pPr>
        <w:pStyle w:val="ListParagraph"/>
        <w:numPr>
          <w:ilvl w:val="0"/>
          <w:numId w:val="9"/>
        </w:numPr>
        <w:rPr>
          <w:rFonts w:ascii="Arial" w:hAnsi="Arial"/>
          <w:szCs w:val="20"/>
        </w:rPr>
      </w:pPr>
      <w:r>
        <w:rPr>
          <w:rFonts w:ascii="Arial" w:hAnsi="Arial"/>
          <w:szCs w:val="20"/>
        </w:rPr>
        <w:t>Re-allocate the bulge class underspend to the schools formula and special schools to help fund their portion Education Services Grant termination as detailed in the ESG report.</w:t>
      </w:r>
    </w:p>
    <w:p w:rsidR="00331168" w:rsidRDefault="00331168" w:rsidP="00331168">
      <w:pPr>
        <w:pStyle w:val="ListParagraph"/>
        <w:numPr>
          <w:ilvl w:val="0"/>
          <w:numId w:val="9"/>
        </w:numPr>
        <w:rPr>
          <w:rFonts w:ascii="Arial" w:hAnsi="Arial"/>
          <w:szCs w:val="20"/>
        </w:rPr>
      </w:pPr>
      <w:r>
        <w:rPr>
          <w:rFonts w:ascii="Arial" w:hAnsi="Arial"/>
          <w:szCs w:val="20"/>
        </w:rPr>
        <w:t>The parenting cover de-delegated budget to be increased in order to fund the expected cost.</w:t>
      </w:r>
    </w:p>
    <w:p w:rsidR="00331168" w:rsidRDefault="00331168" w:rsidP="00331168">
      <w:pPr>
        <w:pStyle w:val="ListParagraph"/>
        <w:numPr>
          <w:ilvl w:val="0"/>
          <w:numId w:val="9"/>
        </w:numPr>
        <w:rPr>
          <w:rFonts w:ascii="Arial" w:hAnsi="Arial"/>
          <w:szCs w:val="20"/>
        </w:rPr>
      </w:pPr>
      <w:r>
        <w:rPr>
          <w:rFonts w:ascii="Arial" w:hAnsi="Arial"/>
          <w:szCs w:val="20"/>
        </w:rPr>
        <w:t>The £686k High Needs Block growth is allocated towards the Independent Day School budget.</w:t>
      </w:r>
    </w:p>
    <w:p w:rsidR="00331168" w:rsidRPr="00D13B47" w:rsidRDefault="00331168" w:rsidP="00331168">
      <w:pPr>
        <w:pStyle w:val="ListParagraph"/>
        <w:numPr>
          <w:ilvl w:val="0"/>
          <w:numId w:val="9"/>
        </w:numPr>
        <w:rPr>
          <w:rFonts w:ascii="Arial" w:hAnsi="Arial"/>
          <w:szCs w:val="20"/>
        </w:rPr>
      </w:pPr>
      <w:r w:rsidRPr="00D13B47">
        <w:rPr>
          <w:rFonts w:ascii="Arial" w:hAnsi="Arial"/>
          <w:szCs w:val="20"/>
        </w:rPr>
        <w:t xml:space="preserve">Transfer £250k from the Schools Block to the High Needs Block to fund the SEN placement/EHC </w:t>
      </w:r>
      <w:r w:rsidR="00845D6B" w:rsidRPr="00D13B47">
        <w:rPr>
          <w:rFonts w:ascii="Arial" w:hAnsi="Arial"/>
          <w:szCs w:val="20"/>
        </w:rPr>
        <w:t>plan cost</w:t>
      </w:r>
      <w:r w:rsidRPr="00D13B47">
        <w:rPr>
          <w:rFonts w:ascii="Arial" w:hAnsi="Arial"/>
          <w:szCs w:val="20"/>
        </w:rPr>
        <w:t xml:space="preserve"> pressure in Out of Borough maintained schools.</w:t>
      </w:r>
    </w:p>
    <w:p w:rsidR="00331168" w:rsidRDefault="00331168" w:rsidP="00331168">
      <w:pPr>
        <w:rPr>
          <w:rFonts w:ascii="Arial" w:hAnsi="Arial"/>
          <w:szCs w:val="20"/>
        </w:rPr>
      </w:pPr>
    </w:p>
    <w:p w:rsidR="006D4054" w:rsidRDefault="006D4054" w:rsidP="00331168">
      <w:pPr>
        <w:numPr>
          <w:ilvl w:val="0"/>
          <w:numId w:val="8"/>
        </w:numPr>
        <w:tabs>
          <w:tab w:val="clear" w:pos="927"/>
          <w:tab w:val="num" w:pos="720"/>
        </w:tabs>
        <w:ind w:left="720" w:hanging="720"/>
        <w:rPr>
          <w:rFonts w:ascii="Arial" w:hAnsi="Arial"/>
          <w:szCs w:val="20"/>
        </w:rPr>
      </w:pPr>
      <w:r>
        <w:rPr>
          <w:rFonts w:ascii="Arial" w:hAnsi="Arial"/>
          <w:szCs w:val="20"/>
        </w:rPr>
        <w:t xml:space="preserve">These transfers </w:t>
      </w:r>
      <w:r w:rsidR="00845D6B">
        <w:rPr>
          <w:rFonts w:ascii="Arial" w:hAnsi="Arial"/>
          <w:szCs w:val="20"/>
        </w:rPr>
        <w:t>and changes identified above aim</w:t>
      </w:r>
      <w:r>
        <w:rPr>
          <w:rFonts w:ascii="Arial" w:hAnsi="Arial"/>
          <w:szCs w:val="20"/>
        </w:rPr>
        <w:t xml:space="preserve"> to </w:t>
      </w:r>
      <w:r w:rsidR="00845D6B">
        <w:rPr>
          <w:rFonts w:ascii="Arial" w:hAnsi="Arial"/>
          <w:szCs w:val="20"/>
        </w:rPr>
        <w:t>maximise the</w:t>
      </w:r>
      <w:r>
        <w:rPr>
          <w:rFonts w:ascii="Arial" w:hAnsi="Arial"/>
          <w:szCs w:val="20"/>
        </w:rPr>
        <w:t xml:space="preserve"> funding in the Schools Block to support schools finances</w:t>
      </w:r>
      <w:r w:rsidR="00845D6B">
        <w:rPr>
          <w:rFonts w:ascii="Arial" w:hAnsi="Arial"/>
          <w:szCs w:val="20"/>
        </w:rPr>
        <w:t>,</w:t>
      </w:r>
      <w:r>
        <w:rPr>
          <w:rFonts w:ascii="Arial" w:hAnsi="Arial"/>
          <w:szCs w:val="20"/>
        </w:rPr>
        <w:t xml:space="preserve"> while ensuring sufficient funding to </w:t>
      </w:r>
      <w:r w:rsidR="00845D6B">
        <w:rPr>
          <w:rFonts w:ascii="Arial" w:hAnsi="Arial"/>
          <w:szCs w:val="20"/>
        </w:rPr>
        <w:t xml:space="preserve">support </w:t>
      </w:r>
      <w:r>
        <w:rPr>
          <w:rFonts w:ascii="Arial" w:hAnsi="Arial"/>
          <w:szCs w:val="20"/>
        </w:rPr>
        <w:t>students with high needs.</w:t>
      </w:r>
    </w:p>
    <w:p w:rsidR="00C1519A" w:rsidRDefault="00C1519A" w:rsidP="00C1519A">
      <w:pPr>
        <w:ind w:left="720"/>
        <w:rPr>
          <w:rFonts w:ascii="Arial" w:hAnsi="Arial"/>
          <w:szCs w:val="20"/>
        </w:rPr>
      </w:pPr>
    </w:p>
    <w:p w:rsidR="00845D6B" w:rsidRDefault="00845D6B" w:rsidP="00331168">
      <w:pPr>
        <w:numPr>
          <w:ilvl w:val="0"/>
          <w:numId w:val="8"/>
        </w:numPr>
        <w:tabs>
          <w:tab w:val="clear" w:pos="927"/>
          <w:tab w:val="num" w:pos="720"/>
        </w:tabs>
        <w:ind w:left="720" w:hanging="720"/>
        <w:rPr>
          <w:rFonts w:ascii="Arial" w:hAnsi="Arial"/>
          <w:szCs w:val="20"/>
        </w:rPr>
      </w:pPr>
      <w:r>
        <w:rPr>
          <w:rFonts w:ascii="Arial" w:hAnsi="Arial"/>
          <w:szCs w:val="20"/>
        </w:rPr>
        <w:lastRenderedPageBreak/>
        <w:t xml:space="preserve">If there is a net in-year deficit, this will </w:t>
      </w:r>
      <w:r w:rsidR="00C1519A">
        <w:rPr>
          <w:rFonts w:ascii="Arial" w:hAnsi="Arial"/>
          <w:szCs w:val="20"/>
        </w:rPr>
        <w:t>be funded from the DSG reserve.</w:t>
      </w:r>
    </w:p>
    <w:p w:rsidR="00580DE7" w:rsidRDefault="00580DE7" w:rsidP="00C1519A">
      <w:pPr>
        <w:rPr>
          <w:rFonts w:ascii="Arial" w:hAnsi="Arial"/>
          <w:szCs w:val="20"/>
        </w:rPr>
      </w:pPr>
    </w:p>
    <w:p w:rsidR="00904A8D" w:rsidRDefault="00904A8D">
      <w:pPr>
        <w:pStyle w:val="Header"/>
        <w:numPr>
          <w:ilvl w:val="0"/>
          <w:numId w:val="2"/>
        </w:numPr>
        <w:tabs>
          <w:tab w:val="clear" w:pos="4153"/>
          <w:tab w:val="clear" w:pos="8306"/>
        </w:tabs>
        <w:ind w:hanging="720"/>
        <w:rPr>
          <w:b/>
        </w:rPr>
      </w:pPr>
      <w:r>
        <w:rPr>
          <w:rFonts w:cs="Arial"/>
          <w:b/>
          <w:bCs/>
          <w:sz w:val="28"/>
        </w:rPr>
        <w:t>Financial, resource and property implications</w:t>
      </w:r>
    </w:p>
    <w:p w:rsidR="00904A8D" w:rsidRDefault="00904A8D">
      <w:pPr>
        <w:pStyle w:val="Header"/>
        <w:tabs>
          <w:tab w:val="clear" w:pos="4153"/>
          <w:tab w:val="clear" w:pos="8306"/>
        </w:tabs>
        <w:rPr>
          <w:b/>
        </w:rPr>
      </w:pPr>
    </w:p>
    <w:p w:rsidR="00904A8D" w:rsidRDefault="00B56C5A">
      <w:pPr>
        <w:pStyle w:val="Header"/>
        <w:tabs>
          <w:tab w:val="clear" w:pos="4153"/>
          <w:tab w:val="clear" w:pos="8306"/>
        </w:tabs>
        <w:ind w:left="720" w:hanging="720"/>
        <w:rPr>
          <w:bCs/>
        </w:rPr>
      </w:pPr>
      <w:r>
        <w:rPr>
          <w:bCs/>
        </w:rPr>
        <w:t>4</w:t>
      </w:r>
      <w:r w:rsidR="00904A8D">
        <w:rPr>
          <w:bCs/>
        </w:rPr>
        <w:t>.1</w:t>
      </w:r>
      <w:r w:rsidR="00904A8D">
        <w:rPr>
          <w:bCs/>
        </w:rPr>
        <w:tab/>
        <w:t>The financial implications are detailed in the main body of this report</w:t>
      </w:r>
      <w:r w:rsidR="00974BB9">
        <w:rPr>
          <w:bCs/>
        </w:rPr>
        <w:t>.</w:t>
      </w:r>
      <w:r w:rsidR="00904A8D">
        <w:rPr>
          <w:bCs/>
        </w:rPr>
        <w:br/>
      </w:r>
    </w:p>
    <w:p w:rsidR="00904A8D" w:rsidRDefault="00904A8D">
      <w:pPr>
        <w:pStyle w:val="Header"/>
        <w:numPr>
          <w:ilvl w:val="0"/>
          <w:numId w:val="2"/>
        </w:numPr>
        <w:tabs>
          <w:tab w:val="clear" w:pos="4153"/>
          <w:tab w:val="clear" w:pos="8306"/>
        </w:tabs>
        <w:ind w:hanging="720"/>
        <w:rPr>
          <w:b/>
        </w:rPr>
      </w:pPr>
      <w:r>
        <w:rPr>
          <w:rFonts w:cs="Arial"/>
          <w:b/>
          <w:bCs/>
          <w:sz w:val="28"/>
        </w:rPr>
        <w:t>Legal and statutory implications</w:t>
      </w:r>
      <w:r>
        <w:rPr>
          <w:b/>
        </w:rPr>
        <w:br/>
      </w:r>
    </w:p>
    <w:p w:rsidR="00904A8D" w:rsidRDefault="00904A8D">
      <w:pPr>
        <w:pStyle w:val="Header"/>
        <w:numPr>
          <w:ilvl w:val="1"/>
          <w:numId w:val="2"/>
        </w:numPr>
        <w:tabs>
          <w:tab w:val="clear" w:pos="4153"/>
          <w:tab w:val="clear" w:pos="8306"/>
        </w:tabs>
        <w:ind w:hanging="720"/>
      </w:pPr>
      <w:r>
        <w:t xml:space="preserve">No legal implications at this stage. </w:t>
      </w:r>
    </w:p>
    <w:p w:rsidR="00904A8D" w:rsidRDefault="00904A8D">
      <w:pPr>
        <w:pStyle w:val="Header"/>
        <w:tabs>
          <w:tab w:val="clear" w:pos="4153"/>
          <w:tab w:val="clear" w:pos="8306"/>
        </w:tabs>
        <w:ind w:left="285" w:hanging="285"/>
        <w:rPr>
          <w:b/>
        </w:rPr>
      </w:pPr>
    </w:p>
    <w:p w:rsidR="00904A8D" w:rsidRDefault="00904A8D">
      <w:pPr>
        <w:pStyle w:val="Header"/>
        <w:numPr>
          <w:ilvl w:val="0"/>
          <w:numId w:val="2"/>
        </w:numPr>
        <w:tabs>
          <w:tab w:val="clear" w:pos="4153"/>
          <w:tab w:val="clear" w:pos="8306"/>
        </w:tabs>
        <w:ind w:hanging="720"/>
        <w:rPr>
          <w:b/>
        </w:rPr>
      </w:pPr>
      <w:r>
        <w:rPr>
          <w:rFonts w:cs="Arial"/>
          <w:b/>
          <w:bCs/>
          <w:sz w:val="28"/>
        </w:rPr>
        <w:t>Human rights, equalities and community cohesion implications</w:t>
      </w:r>
      <w:r>
        <w:rPr>
          <w:b/>
        </w:rPr>
        <w:br/>
      </w:r>
    </w:p>
    <w:p w:rsidR="00904A8D" w:rsidRDefault="00904A8D">
      <w:pPr>
        <w:pStyle w:val="Header"/>
        <w:numPr>
          <w:ilvl w:val="1"/>
          <w:numId w:val="2"/>
        </w:numPr>
        <w:tabs>
          <w:tab w:val="clear" w:pos="720"/>
          <w:tab w:val="clear" w:pos="4153"/>
          <w:tab w:val="clear" w:pos="8306"/>
        </w:tabs>
        <w:ind w:left="900" w:hanging="900"/>
      </w:pPr>
      <w:r>
        <w:t>None at this stage.</w:t>
      </w:r>
    </w:p>
    <w:p w:rsidR="00904A8D" w:rsidRDefault="00904A8D">
      <w:pPr>
        <w:autoSpaceDE w:val="0"/>
        <w:autoSpaceDN w:val="0"/>
        <w:adjustRightInd w:val="0"/>
        <w:rPr>
          <w:color w:val="000000"/>
          <w:lang w:val="en-US"/>
        </w:rPr>
      </w:pP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Appendices</w:t>
      </w:r>
    </w:p>
    <w:p w:rsidR="00904A8D" w:rsidRDefault="00904A8D">
      <w:pPr>
        <w:pStyle w:val="Header"/>
        <w:tabs>
          <w:tab w:val="clear" w:pos="4153"/>
          <w:tab w:val="clear" w:pos="8306"/>
        </w:tabs>
      </w:pPr>
    </w:p>
    <w:p w:rsidR="007970B2" w:rsidRDefault="005A18BF">
      <w:pPr>
        <w:pStyle w:val="Header"/>
        <w:numPr>
          <w:ilvl w:val="1"/>
          <w:numId w:val="2"/>
        </w:numPr>
        <w:tabs>
          <w:tab w:val="clear" w:pos="720"/>
          <w:tab w:val="clear" w:pos="4153"/>
          <w:tab w:val="clear" w:pos="8306"/>
        </w:tabs>
        <w:ind w:left="900" w:hanging="900"/>
      </w:pPr>
      <w:r>
        <w:t>None</w:t>
      </w:r>
    </w:p>
    <w:p w:rsidR="00904A8D" w:rsidRDefault="00904A8D">
      <w:pPr>
        <w:pStyle w:val="Header"/>
        <w:tabs>
          <w:tab w:val="clear" w:pos="4153"/>
          <w:tab w:val="clear" w:pos="8306"/>
        </w:tabs>
      </w:pPr>
      <w:r>
        <w:tab/>
      </w: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 xml:space="preserve">Background Papers – the following documents have been relied on in drawing up this report but do not form part of the report: </w:t>
      </w:r>
    </w:p>
    <w:p w:rsidR="00904A8D" w:rsidRDefault="00904A8D">
      <w:pPr>
        <w:pStyle w:val="Header"/>
        <w:tabs>
          <w:tab w:val="clear" w:pos="4153"/>
          <w:tab w:val="clear" w:pos="8306"/>
        </w:tabs>
        <w:rPr>
          <w:rFonts w:cs="Arial"/>
          <w:b/>
          <w:bCs/>
          <w:sz w:val="28"/>
        </w:rPr>
      </w:pPr>
    </w:p>
    <w:p w:rsidR="00904A8D" w:rsidRDefault="00904A8D" w:rsidP="00974BB9">
      <w:pPr>
        <w:pStyle w:val="Header"/>
        <w:numPr>
          <w:ilvl w:val="1"/>
          <w:numId w:val="2"/>
        </w:numPr>
        <w:tabs>
          <w:tab w:val="clear" w:pos="4153"/>
          <w:tab w:val="clear" w:pos="8306"/>
          <w:tab w:val="left" w:pos="720"/>
        </w:tabs>
        <w:ind w:hanging="720"/>
      </w:pPr>
      <w:r>
        <w:t>Centrally held financial information and other papers held by the Children Schools and Families Finance Team.</w:t>
      </w:r>
    </w:p>
    <w:p w:rsidR="00904A8D" w:rsidRDefault="00904A8D">
      <w:pPr>
        <w:pStyle w:val="Header"/>
        <w:tabs>
          <w:tab w:val="clear" w:pos="4153"/>
          <w:tab w:val="clear" w:pos="8306"/>
        </w:tabs>
      </w:pP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Report author</w:t>
      </w:r>
    </w:p>
    <w:p w:rsidR="00904A8D" w:rsidRDefault="00904A8D">
      <w:pPr>
        <w:pStyle w:val="Header"/>
        <w:tabs>
          <w:tab w:val="clear" w:pos="4153"/>
          <w:tab w:val="clear" w:pos="8306"/>
        </w:tabs>
      </w:pPr>
    </w:p>
    <w:p w:rsidR="00904A8D" w:rsidRDefault="00904A8D">
      <w:pPr>
        <w:pStyle w:val="Header"/>
        <w:tabs>
          <w:tab w:val="clear" w:pos="4153"/>
          <w:tab w:val="clear" w:pos="8306"/>
        </w:tabs>
      </w:pPr>
      <w:r>
        <w:t>Marius Karsten</w:t>
      </w:r>
      <w:r w:rsidR="009762DB">
        <w:t>-</w:t>
      </w:r>
      <w:proofErr w:type="spellStart"/>
      <w:r w:rsidR="009762DB">
        <w:t>Strydom</w:t>
      </w:r>
      <w:proofErr w:type="spellEnd"/>
      <w:r>
        <w:t xml:space="preserve">, Service Financial Adviser CSF    </w:t>
      </w:r>
    </w:p>
    <w:p w:rsidR="00904A8D" w:rsidRDefault="00904A8D">
      <w:pPr>
        <w:pStyle w:val="Header"/>
        <w:tabs>
          <w:tab w:val="clear" w:pos="4153"/>
          <w:tab w:val="clear" w:pos="8306"/>
        </w:tabs>
      </w:pPr>
      <w:r>
        <w:t>0208 545 4129</w:t>
      </w:r>
    </w:p>
    <w:p w:rsidR="00904A8D" w:rsidRDefault="00E57DF7">
      <w:pPr>
        <w:pStyle w:val="Header"/>
        <w:tabs>
          <w:tab w:val="clear" w:pos="4153"/>
          <w:tab w:val="clear" w:pos="8306"/>
        </w:tabs>
      </w:pPr>
      <w:hyperlink r:id="rId9" w:history="1">
        <w:r w:rsidR="00904A8D">
          <w:rPr>
            <w:rStyle w:val="Hyperlink"/>
          </w:rPr>
          <w:t>marius.karsten@merton.gov.uk</w:t>
        </w:r>
      </w:hyperlink>
    </w:p>
    <w:p w:rsidR="00904A8D" w:rsidRDefault="00904A8D">
      <w:pPr>
        <w:pStyle w:val="Header"/>
        <w:tabs>
          <w:tab w:val="clear" w:pos="4153"/>
          <w:tab w:val="clear" w:pos="8306"/>
        </w:tabs>
      </w:pPr>
    </w:p>
    <w:p w:rsidR="00904A8D" w:rsidRDefault="00904A8D">
      <w:pPr>
        <w:pStyle w:val="Header"/>
        <w:tabs>
          <w:tab w:val="clear" w:pos="4153"/>
          <w:tab w:val="clear" w:pos="8306"/>
        </w:tabs>
      </w:pPr>
      <w:r>
        <w:t xml:space="preserve">Further information about Merton Council can be obtained from its web site </w:t>
      </w:r>
      <w:hyperlink r:id="rId10" w:history="1">
        <w:r>
          <w:rPr>
            <w:rStyle w:val="Hyperlink"/>
          </w:rPr>
          <w:t>www.merton.gov.uk</w:t>
        </w:r>
      </w:hyperlink>
      <w:r>
        <w:t xml:space="preserve"> </w:t>
      </w:r>
    </w:p>
    <w:p w:rsidR="00904A8D" w:rsidRDefault="00904A8D">
      <w:pPr>
        <w:pStyle w:val="Header"/>
        <w:tabs>
          <w:tab w:val="clear" w:pos="4153"/>
          <w:tab w:val="clear" w:pos="8306"/>
        </w:tabs>
        <w:jc w:val="right"/>
        <w:rPr>
          <w:b/>
          <w:sz w:val="36"/>
        </w:rPr>
      </w:pPr>
    </w:p>
    <w:p w:rsidR="00117944" w:rsidRDefault="00117944">
      <w:pPr>
        <w:pStyle w:val="Header"/>
        <w:tabs>
          <w:tab w:val="clear" w:pos="4153"/>
          <w:tab w:val="clear" w:pos="8306"/>
        </w:tabs>
        <w:jc w:val="right"/>
        <w:rPr>
          <w:b/>
          <w:sz w:val="36"/>
        </w:rPr>
      </w:pPr>
    </w:p>
    <w:p w:rsidR="002072A9" w:rsidRDefault="002072A9">
      <w:pPr>
        <w:rPr>
          <w:b/>
          <w:sz w:val="36"/>
        </w:rPr>
        <w:sectPr w:rsidR="002072A9" w:rsidSect="00B56C5A">
          <w:footerReference w:type="default" r:id="rId11"/>
          <w:pgSz w:w="11906" w:h="16838"/>
          <w:pgMar w:top="1440" w:right="1418" w:bottom="1242" w:left="1418" w:header="709" w:footer="709" w:gutter="0"/>
          <w:cols w:space="708"/>
          <w:docGrid w:linePitch="360"/>
        </w:sectPr>
      </w:pPr>
    </w:p>
    <w:p w:rsidR="00117944" w:rsidRPr="00E449D2" w:rsidRDefault="00117944" w:rsidP="00B762F5">
      <w:pPr>
        <w:rPr>
          <w:rFonts w:ascii="Arial" w:hAnsi="Arial"/>
          <w:b/>
        </w:rPr>
      </w:pPr>
    </w:p>
    <w:sectPr w:rsidR="00117944" w:rsidRPr="00E449D2" w:rsidSect="002072A9">
      <w:type w:val="continuous"/>
      <w:pgSz w:w="11906" w:h="16838"/>
      <w:pgMar w:top="1440"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95" w:rsidRDefault="008D3595">
      <w:r>
        <w:separator/>
      </w:r>
    </w:p>
  </w:endnote>
  <w:endnote w:type="continuationSeparator" w:id="0">
    <w:p w:rsidR="008D3595" w:rsidRDefault="008D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4E" w:rsidRDefault="0046274E" w:rsidP="00C26836">
    <w:pPr>
      <w:pStyle w:val="Footer"/>
      <w:jc w:val="center"/>
    </w:pPr>
    <w:r>
      <w:rPr>
        <w:rStyle w:val="PageNumber"/>
      </w:rPr>
      <w:fldChar w:fldCharType="begin"/>
    </w:r>
    <w:r>
      <w:rPr>
        <w:rStyle w:val="PageNumber"/>
      </w:rPr>
      <w:instrText xml:space="preserve"> PAGE </w:instrText>
    </w:r>
    <w:r>
      <w:rPr>
        <w:rStyle w:val="PageNumber"/>
      </w:rPr>
      <w:fldChar w:fldCharType="separate"/>
    </w:r>
    <w:r w:rsidR="00E57DF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95" w:rsidRDefault="008D3595">
      <w:r>
        <w:separator/>
      </w:r>
    </w:p>
  </w:footnote>
  <w:footnote w:type="continuationSeparator" w:id="0">
    <w:p w:rsidR="008D3595" w:rsidRDefault="008D3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6B57"/>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472398"/>
    <w:multiLevelType w:val="hybridMultilevel"/>
    <w:tmpl w:val="501E0576"/>
    <w:lvl w:ilvl="0" w:tplc="B9265FF2">
      <w:start w:val="1"/>
      <w:numFmt w:val="decimal"/>
      <w:lvlText w:val="3.%1"/>
      <w:lvlJc w:val="left"/>
      <w:pPr>
        <w:tabs>
          <w:tab w:val="num" w:pos="927"/>
        </w:tabs>
        <w:ind w:left="92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FC7F22"/>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C47A8E"/>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35632B"/>
    <w:multiLevelType w:val="multilevel"/>
    <w:tmpl w:val="3930456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25E5A16"/>
    <w:multiLevelType w:val="hybridMultilevel"/>
    <w:tmpl w:val="03D66AFC"/>
    <w:lvl w:ilvl="0" w:tplc="FFFFFFFF">
      <w:start w:val="2"/>
      <w:numFmt w:val="upperLetter"/>
      <w:pStyle w:val="Heading7"/>
      <w:lvlText w:val="%1."/>
      <w:lvlJc w:val="left"/>
      <w:pPr>
        <w:tabs>
          <w:tab w:val="num" w:pos="855"/>
        </w:tabs>
        <w:ind w:left="855" w:hanging="495"/>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8983AA5"/>
    <w:multiLevelType w:val="hybridMultilevel"/>
    <w:tmpl w:val="13C6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98B2095"/>
    <w:multiLevelType w:val="singleLevel"/>
    <w:tmpl w:val="71820E90"/>
    <w:lvl w:ilvl="0">
      <w:start w:val="1"/>
      <w:numFmt w:val="decimal"/>
      <w:lvlText w:val="%1."/>
      <w:lvlJc w:val="left"/>
      <w:pPr>
        <w:tabs>
          <w:tab w:val="num" w:pos="360"/>
        </w:tabs>
        <w:ind w:left="360" w:hanging="360"/>
      </w:pPr>
      <w:rPr>
        <w:rFonts w:hint="default"/>
        <w:sz w:val="24"/>
      </w:rPr>
    </w:lvl>
  </w:abstractNum>
  <w:abstractNum w:abstractNumId="8">
    <w:nsid w:val="7CAA5097"/>
    <w:multiLevelType w:val="hybridMultilevel"/>
    <w:tmpl w:val="CA80472C"/>
    <w:lvl w:ilvl="0" w:tplc="04090017">
      <w:start w:val="1"/>
      <w:numFmt w:val="lowerLetter"/>
      <w:lvlText w:val="%1)"/>
      <w:lvlJc w:val="left"/>
      <w:pPr>
        <w:tabs>
          <w:tab w:val="num" w:pos="720"/>
        </w:tabs>
        <w:ind w:left="720" w:hanging="360"/>
      </w:pPr>
      <w:rPr>
        <w:rFonts w:hint="default"/>
      </w:rPr>
    </w:lvl>
    <w:lvl w:ilvl="1" w:tplc="317016FC">
      <w:start w:val="1"/>
      <w:numFmt w:val="lowerLetter"/>
      <w:lvlText w:val="%2)"/>
      <w:lvlJc w:val="left"/>
      <w:pPr>
        <w:tabs>
          <w:tab w:val="num" w:pos="1440"/>
        </w:tabs>
        <w:ind w:left="1440" w:hanging="360"/>
      </w:pPr>
      <w:rPr>
        <w:rFonts w:hint="default"/>
      </w:rPr>
    </w:lvl>
    <w:lvl w:ilvl="2" w:tplc="5B9CEB36">
      <w:start w:val="1"/>
      <w:numFmt w:val="decimal"/>
      <w:lvlText w:val="%3)"/>
      <w:lvlJc w:val="left"/>
      <w:pPr>
        <w:tabs>
          <w:tab w:val="num" w:pos="2340"/>
        </w:tabs>
        <w:ind w:left="2340" w:hanging="360"/>
      </w:pPr>
      <w:rPr>
        <w:rFonts w:hint="default"/>
      </w:rPr>
    </w:lvl>
    <w:lvl w:ilvl="3" w:tplc="AF921F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8"/>
  </w:num>
  <w:num w:numId="5">
    <w:abstractNumId w:val="2"/>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F"/>
    <w:rsid w:val="000061A6"/>
    <w:rsid w:val="000140C2"/>
    <w:rsid w:val="00016282"/>
    <w:rsid w:val="00065F87"/>
    <w:rsid w:val="00094B92"/>
    <w:rsid w:val="000A481E"/>
    <w:rsid w:val="000A4BC1"/>
    <w:rsid w:val="000C1D8C"/>
    <w:rsid w:val="000C4D73"/>
    <w:rsid w:val="000C6058"/>
    <w:rsid w:val="0010723E"/>
    <w:rsid w:val="00117944"/>
    <w:rsid w:val="00157B9D"/>
    <w:rsid w:val="001641D2"/>
    <w:rsid w:val="00184291"/>
    <w:rsid w:val="001F00EE"/>
    <w:rsid w:val="002072A9"/>
    <w:rsid w:val="0023442C"/>
    <w:rsid w:val="00256D7D"/>
    <w:rsid w:val="002A58DA"/>
    <w:rsid w:val="002C3DA9"/>
    <w:rsid w:val="002E2DD2"/>
    <w:rsid w:val="002E4C70"/>
    <w:rsid w:val="002E5D2C"/>
    <w:rsid w:val="002E6C06"/>
    <w:rsid w:val="002F1DC0"/>
    <w:rsid w:val="00301840"/>
    <w:rsid w:val="0032100F"/>
    <w:rsid w:val="00331168"/>
    <w:rsid w:val="00343C21"/>
    <w:rsid w:val="003462EF"/>
    <w:rsid w:val="00351248"/>
    <w:rsid w:val="00364C3C"/>
    <w:rsid w:val="00374717"/>
    <w:rsid w:val="00381A20"/>
    <w:rsid w:val="003A3819"/>
    <w:rsid w:val="003C296D"/>
    <w:rsid w:val="003D4421"/>
    <w:rsid w:val="004026A3"/>
    <w:rsid w:val="0046269E"/>
    <w:rsid w:val="0046274E"/>
    <w:rsid w:val="0048394B"/>
    <w:rsid w:val="004B01CC"/>
    <w:rsid w:val="004C1A79"/>
    <w:rsid w:val="004C26F6"/>
    <w:rsid w:val="005040BF"/>
    <w:rsid w:val="00507060"/>
    <w:rsid w:val="00525FAB"/>
    <w:rsid w:val="00530C6A"/>
    <w:rsid w:val="005427CD"/>
    <w:rsid w:val="00550FBD"/>
    <w:rsid w:val="005549CF"/>
    <w:rsid w:val="00564475"/>
    <w:rsid w:val="00580DE7"/>
    <w:rsid w:val="00587F20"/>
    <w:rsid w:val="005A18BF"/>
    <w:rsid w:val="005C1000"/>
    <w:rsid w:val="005C46BA"/>
    <w:rsid w:val="005D371C"/>
    <w:rsid w:val="005E2F0B"/>
    <w:rsid w:val="00607485"/>
    <w:rsid w:val="00663DE7"/>
    <w:rsid w:val="00672CDF"/>
    <w:rsid w:val="00680B5F"/>
    <w:rsid w:val="00681E65"/>
    <w:rsid w:val="00686825"/>
    <w:rsid w:val="006D4054"/>
    <w:rsid w:val="006D711B"/>
    <w:rsid w:val="00711BD4"/>
    <w:rsid w:val="00733210"/>
    <w:rsid w:val="007361E3"/>
    <w:rsid w:val="007566B6"/>
    <w:rsid w:val="007970B2"/>
    <w:rsid w:val="007B6BFF"/>
    <w:rsid w:val="007C3D37"/>
    <w:rsid w:val="007D548B"/>
    <w:rsid w:val="007E18A6"/>
    <w:rsid w:val="008074BF"/>
    <w:rsid w:val="008177A8"/>
    <w:rsid w:val="00845D6B"/>
    <w:rsid w:val="008543A8"/>
    <w:rsid w:val="00854689"/>
    <w:rsid w:val="0085649F"/>
    <w:rsid w:val="0087408B"/>
    <w:rsid w:val="0088517C"/>
    <w:rsid w:val="008C0CE5"/>
    <w:rsid w:val="008D3595"/>
    <w:rsid w:val="008D4BA3"/>
    <w:rsid w:val="008F6925"/>
    <w:rsid w:val="00901A2A"/>
    <w:rsid w:val="00901EA9"/>
    <w:rsid w:val="00904A8D"/>
    <w:rsid w:val="00912D0D"/>
    <w:rsid w:val="00957EC7"/>
    <w:rsid w:val="009667E9"/>
    <w:rsid w:val="00974BB9"/>
    <w:rsid w:val="00976028"/>
    <w:rsid w:val="009762DB"/>
    <w:rsid w:val="009929BF"/>
    <w:rsid w:val="00994A67"/>
    <w:rsid w:val="009A1477"/>
    <w:rsid w:val="009A442E"/>
    <w:rsid w:val="009B37FF"/>
    <w:rsid w:val="009B3DC1"/>
    <w:rsid w:val="009E4340"/>
    <w:rsid w:val="009F4D56"/>
    <w:rsid w:val="00A26B18"/>
    <w:rsid w:val="00A37025"/>
    <w:rsid w:val="00A82255"/>
    <w:rsid w:val="00AA24F9"/>
    <w:rsid w:val="00AD34A6"/>
    <w:rsid w:val="00AD3C1F"/>
    <w:rsid w:val="00B104BE"/>
    <w:rsid w:val="00B176B0"/>
    <w:rsid w:val="00B43AD2"/>
    <w:rsid w:val="00B546F6"/>
    <w:rsid w:val="00B56C5A"/>
    <w:rsid w:val="00B61DA8"/>
    <w:rsid w:val="00B762F5"/>
    <w:rsid w:val="00B85A87"/>
    <w:rsid w:val="00B941F8"/>
    <w:rsid w:val="00B943DC"/>
    <w:rsid w:val="00BA4EBA"/>
    <w:rsid w:val="00BC431A"/>
    <w:rsid w:val="00BC436B"/>
    <w:rsid w:val="00BC605B"/>
    <w:rsid w:val="00BC7631"/>
    <w:rsid w:val="00BD2328"/>
    <w:rsid w:val="00BF0306"/>
    <w:rsid w:val="00C00F60"/>
    <w:rsid w:val="00C128EE"/>
    <w:rsid w:val="00C1519A"/>
    <w:rsid w:val="00C2019B"/>
    <w:rsid w:val="00C26836"/>
    <w:rsid w:val="00C67F62"/>
    <w:rsid w:val="00C738AA"/>
    <w:rsid w:val="00C871AB"/>
    <w:rsid w:val="00C9048B"/>
    <w:rsid w:val="00CC1850"/>
    <w:rsid w:val="00CF028F"/>
    <w:rsid w:val="00CF272F"/>
    <w:rsid w:val="00D06244"/>
    <w:rsid w:val="00D1297D"/>
    <w:rsid w:val="00D13B47"/>
    <w:rsid w:val="00D46306"/>
    <w:rsid w:val="00D56828"/>
    <w:rsid w:val="00D61E3B"/>
    <w:rsid w:val="00DB287A"/>
    <w:rsid w:val="00DB5E20"/>
    <w:rsid w:val="00DD1476"/>
    <w:rsid w:val="00DE6FB8"/>
    <w:rsid w:val="00DF26E2"/>
    <w:rsid w:val="00E2270D"/>
    <w:rsid w:val="00E332A8"/>
    <w:rsid w:val="00E34F17"/>
    <w:rsid w:val="00E449D2"/>
    <w:rsid w:val="00E5034B"/>
    <w:rsid w:val="00E57DF7"/>
    <w:rsid w:val="00E8735D"/>
    <w:rsid w:val="00EA6779"/>
    <w:rsid w:val="00EB17F5"/>
    <w:rsid w:val="00ED58EA"/>
    <w:rsid w:val="00EE0770"/>
    <w:rsid w:val="00EE45A9"/>
    <w:rsid w:val="00EF11E0"/>
    <w:rsid w:val="00F12ABA"/>
    <w:rsid w:val="00F4301A"/>
    <w:rsid w:val="00F44A44"/>
    <w:rsid w:val="00F44EA8"/>
    <w:rsid w:val="00F60F1C"/>
    <w:rsid w:val="00F65D9A"/>
    <w:rsid w:val="00FF1CE9"/>
    <w:rsid w:val="00FF32FA"/>
    <w:rsid w:val="00FF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rsid w:val="00C26836"/>
    <w:pPr>
      <w:tabs>
        <w:tab w:val="center" w:pos="4153"/>
        <w:tab w:val="right" w:pos="8306"/>
      </w:tabs>
    </w:pPr>
  </w:style>
  <w:style w:type="character" w:styleId="PageNumber">
    <w:name w:val="page number"/>
    <w:basedOn w:val="DefaultParagraphFont"/>
    <w:rsid w:val="00C26836"/>
  </w:style>
  <w:style w:type="paragraph" w:styleId="ListParagraph">
    <w:name w:val="List Paragraph"/>
    <w:basedOn w:val="Normal"/>
    <w:uiPriority w:val="34"/>
    <w:qFormat/>
    <w:rsid w:val="00F65D9A"/>
    <w:pPr>
      <w:ind w:left="720"/>
    </w:pPr>
  </w:style>
  <w:style w:type="character" w:styleId="Emphasis">
    <w:name w:val="Emphasis"/>
    <w:uiPriority w:val="20"/>
    <w:qFormat/>
    <w:rsid w:val="00976028"/>
    <w:rPr>
      <w:i/>
      <w:iCs/>
    </w:rPr>
  </w:style>
  <w:style w:type="paragraph" w:styleId="BalloonText">
    <w:name w:val="Balloon Text"/>
    <w:basedOn w:val="Normal"/>
    <w:link w:val="BalloonTextChar"/>
    <w:rsid w:val="009929BF"/>
    <w:rPr>
      <w:rFonts w:ascii="Tahoma" w:hAnsi="Tahoma" w:cs="Tahoma"/>
      <w:sz w:val="16"/>
      <w:szCs w:val="16"/>
    </w:rPr>
  </w:style>
  <w:style w:type="character" w:customStyle="1" w:styleId="BalloonTextChar">
    <w:name w:val="Balloon Text Char"/>
    <w:basedOn w:val="DefaultParagraphFont"/>
    <w:link w:val="BalloonText"/>
    <w:rsid w:val="009929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rsid w:val="00C26836"/>
    <w:pPr>
      <w:tabs>
        <w:tab w:val="center" w:pos="4153"/>
        <w:tab w:val="right" w:pos="8306"/>
      </w:tabs>
    </w:pPr>
  </w:style>
  <w:style w:type="character" w:styleId="PageNumber">
    <w:name w:val="page number"/>
    <w:basedOn w:val="DefaultParagraphFont"/>
    <w:rsid w:val="00C26836"/>
  </w:style>
  <w:style w:type="paragraph" w:styleId="ListParagraph">
    <w:name w:val="List Paragraph"/>
    <w:basedOn w:val="Normal"/>
    <w:uiPriority w:val="34"/>
    <w:qFormat/>
    <w:rsid w:val="00F65D9A"/>
    <w:pPr>
      <w:ind w:left="720"/>
    </w:pPr>
  </w:style>
  <w:style w:type="character" w:styleId="Emphasis">
    <w:name w:val="Emphasis"/>
    <w:uiPriority w:val="20"/>
    <w:qFormat/>
    <w:rsid w:val="00976028"/>
    <w:rPr>
      <w:i/>
      <w:iCs/>
    </w:rPr>
  </w:style>
  <w:style w:type="paragraph" w:styleId="BalloonText">
    <w:name w:val="Balloon Text"/>
    <w:basedOn w:val="Normal"/>
    <w:link w:val="BalloonTextChar"/>
    <w:rsid w:val="009929BF"/>
    <w:rPr>
      <w:rFonts w:ascii="Tahoma" w:hAnsi="Tahoma" w:cs="Tahoma"/>
      <w:sz w:val="16"/>
      <w:szCs w:val="16"/>
    </w:rPr>
  </w:style>
  <w:style w:type="character" w:customStyle="1" w:styleId="BalloonTextChar">
    <w:name w:val="Balloon Text Char"/>
    <w:basedOn w:val="DefaultParagraphFont"/>
    <w:link w:val="BalloonText"/>
    <w:rsid w:val="009929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3399">
      <w:bodyDiv w:val="1"/>
      <w:marLeft w:val="0"/>
      <w:marRight w:val="0"/>
      <w:marTop w:val="0"/>
      <w:marBottom w:val="0"/>
      <w:divBdr>
        <w:top w:val="none" w:sz="0" w:space="0" w:color="auto"/>
        <w:left w:val="none" w:sz="0" w:space="0" w:color="auto"/>
        <w:bottom w:val="none" w:sz="0" w:space="0" w:color="auto"/>
        <w:right w:val="none" w:sz="0" w:space="0" w:color="auto"/>
      </w:divBdr>
    </w:div>
    <w:div w:id="287779069">
      <w:bodyDiv w:val="1"/>
      <w:marLeft w:val="0"/>
      <w:marRight w:val="0"/>
      <w:marTop w:val="0"/>
      <w:marBottom w:val="0"/>
      <w:divBdr>
        <w:top w:val="none" w:sz="0" w:space="0" w:color="auto"/>
        <w:left w:val="none" w:sz="0" w:space="0" w:color="auto"/>
        <w:bottom w:val="none" w:sz="0" w:space="0" w:color="auto"/>
        <w:right w:val="none" w:sz="0" w:space="0" w:color="auto"/>
      </w:divBdr>
    </w:div>
    <w:div w:id="424811781">
      <w:bodyDiv w:val="1"/>
      <w:marLeft w:val="0"/>
      <w:marRight w:val="0"/>
      <w:marTop w:val="0"/>
      <w:marBottom w:val="0"/>
      <w:divBdr>
        <w:top w:val="none" w:sz="0" w:space="0" w:color="auto"/>
        <w:left w:val="none" w:sz="0" w:space="0" w:color="auto"/>
        <w:bottom w:val="none" w:sz="0" w:space="0" w:color="auto"/>
        <w:right w:val="none" w:sz="0" w:space="0" w:color="auto"/>
      </w:divBdr>
    </w:div>
    <w:div w:id="443886653">
      <w:bodyDiv w:val="1"/>
      <w:marLeft w:val="0"/>
      <w:marRight w:val="0"/>
      <w:marTop w:val="0"/>
      <w:marBottom w:val="0"/>
      <w:divBdr>
        <w:top w:val="none" w:sz="0" w:space="0" w:color="auto"/>
        <w:left w:val="none" w:sz="0" w:space="0" w:color="auto"/>
        <w:bottom w:val="none" w:sz="0" w:space="0" w:color="auto"/>
        <w:right w:val="none" w:sz="0" w:space="0" w:color="auto"/>
      </w:divBdr>
    </w:div>
    <w:div w:id="572088048">
      <w:bodyDiv w:val="1"/>
      <w:marLeft w:val="0"/>
      <w:marRight w:val="0"/>
      <w:marTop w:val="0"/>
      <w:marBottom w:val="0"/>
      <w:divBdr>
        <w:top w:val="none" w:sz="0" w:space="0" w:color="auto"/>
        <w:left w:val="none" w:sz="0" w:space="0" w:color="auto"/>
        <w:bottom w:val="none" w:sz="0" w:space="0" w:color="auto"/>
        <w:right w:val="none" w:sz="0" w:space="0" w:color="auto"/>
      </w:divBdr>
    </w:div>
    <w:div w:id="607203364">
      <w:bodyDiv w:val="1"/>
      <w:marLeft w:val="0"/>
      <w:marRight w:val="0"/>
      <w:marTop w:val="0"/>
      <w:marBottom w:val="0"/>
      <w:divBdr>
        <w:top w:val="none" w:sz="0" w:space="0" w:color="auto"/>
        <w:left w:val="none" w:sz="0" w:space="0" w:color="auto"/>
        <w:bottom w:val="none" w:sz="0" w:space="0" w:color="auto"/>
        <w:right w:val="none" w:sz="0" w:space="0" w:color="auto"/>
      </w:divBdr>
    </w:div>
    <w:div w:id="782115038">
      <w:bodyDiv w:val="1"/>
      <w:marLeft w:val="0"/>
      <w:marRight w:val="0"/>
      <w:marTop w:val="0"/>
      <w:marBottom w:val="0"/>
      <w:divBdr>
        <w:top w:val="none" w:sz="0" w:space="0" w:color="auto"/>
        <w:left w:val="none" w:sz="0" w:space="0" w:color="auto"/>
        <w:bottom w:val="none" w:sz="0" w:space="0" w:color="auto"/>
        <w:right w:val="none" w:sz="0" w:space="0" w:color="auto"/>
      </w:divBdr>
    </w:div>
    <w:div w:id="849762879">
      <w:bodyDiv w:val="1"/>
      <w:marLeft w:val="0"/>
      <w:marRight w:val="0"/>
      <w:marTop w:val="0"/>
      <w:marBottom w:val="0"/>
      <w:divBdr>
        <w:top w:val="none" w:sz="0" w:space="0" w:color="auto"/>
        <w:left w:val="none" w:sz="0" w:space="0" w:color="auto"/>
        <w:bottom w:val="none" w:sz="0" w:space="0" w:color="auto"/>
        <w:right w:val="none" w:sz="0" w:space="0" w:color="auto"/>
      </w:divBdr>
    </w:div>
    <w:div w:id="932467897">
      <w:bodyDiv w:val="1"/>
      <w:marLeft w:val="0"/>
      <w:marRight w:val="0"/>
      <w:marTop w:val="0"/>
      <w:marBottom w:val="0"/>
      <w:divBdr>
        <w:top w:val="none" w:sz="0" w:space="0" w:color="auto"/>
        <w:left w:val="none" w:sz="0" w:space="0" w:color="auto"/>
        <w:bottom w:val="none" w:sz="0" w:space="0" w:color="auto"/>
        <w:right w:val="none" w:sz="0" w:space="0" w:color="auto"/>
      </w:divBdr>
    </w:div>
    <w:div w:id="937906924">
      <w:bodyDiv w:val="1"/>
      <w:marLeft w:val="0"/>
      <w:marRight w:val="0"/>
      <w:marTop w:val="0"/>
      <w:marBottom w:val="0"/>
      <w:divBdr>
        <w:top w:val="none" w:sz="0" w:space="0" w:color="auto"/>
        <w:left w:val="none" w:sz="0" w:space="0" w:color="auto"/>
        <w:bottom w:val="none" w:sz="0" w:space="0" w:color="auto"/>
        <w:right w:val="none" w:sz="0" w:space="0" w:color="auto"/>
      </w:divBdr>
    </w:div>
    <w:div w:id="979071459">
      <w:bodyDiv w:val="1"/>
      <w:marLeft w:val="0"/>
      <w:marRight w:val="0"/>
      <w:marTop w:val="0"/>
      <w:marBottom w:val="0"/>
      <w:divBdr>
        <w:top w:val="none" w:sz="0" w:space="0" w:color="auto"/>
        <w:left w:val="none" w:sz="0" w:space="0" w:color="auto"/>
        <w:bottom w:val="none" w:sz="0" w:space="0" w:color="auto"/>
        <w:right w:val="none" w:sz="0" w:space="0" w:color="auto"/>
      </w:divBdr>
    </w:div>
    <w:div w:id="1155072372">
      <w:bodyDiv w:val="1"/>
      <w:marLeft w:val="0"/>
      <w:marRight w:val="0"/>
      <w:marTop w:val="0"/>
      <w:marBottom w:val="0"/>
      <w:divBdr>
        <w:top w:val="none" w:sz="0" w:space="0" w:color="auto"/>
        <w:left w:val="none" w:sz="0" w:space="0" w:color="auto"/>
        <w:bottom w:val="none" w:sz="0" w:space="0" w:color="auto"/>
        <w:right w:val="none" w:sz="0" w:space="0" w:color="auto"/>
      </w:divBdr>
    </w:div>
    <w:div w:id="1413576954">
      <w:bodyDiv w:val="1"/>
      <w:marLeft w:val="0"/>
      <w:marRight w:val="0"/>
      <w:marTop w:val="0"/>
      <w:marBottom w:val="0"/>
      <w:divBdr>
        <w:top w:val="none" w:sz="0" w:space="0" w:color="auto"/>
        <w:left w:val="none" w:sz="0" w:space="0" w:color="auto"/>
        <w:bottom w:val="none" w:sz="0" w:space="0" w:color="auto"/>
        <w:right w:val="none" w:sz="0" w:space="0" w:color="auto"/>
      </w:divBdr>
    </w:div>
    <w:div w:id="1694527412">
      <w:bodyDiv w:val="1"/>
      <w:marLeft w:val="0"/>
      <w:marRight w:val="0"/>
      <w:marTop w:val="0"/>
      <w:marBottom w:val="0"/>
      <w:divBdr>
        <w:top w:val="none" w:sz="0" w:space="0" w:color="auto"/>
        <w:left w:val="none" w:sz="0" w:space="0" w:color="auto"/>
        <w:bottom w:val="none" w:sz="0" w:space="0" w:color="auto"/>
        <w:right w:val="none" w:sz="0" w:space="0" w:color="auto"/>
      </w:divBdr>
    </w:div>
    <w:div w:id="1913930128">
      <w:bodyDiv w:val="1"/>
      <w:marLeft w:val="0"/>
      <w:marRight w:val="0"/>
      <w:marTop w:val="0"/>
      <w:marBottom w:val="0"/>
      <w:divBdr>
        <w:top w:val="none" w:sz="0" w:space="0" w:color="auto"/>
        <w:left w:val="none" w:sz="0" w:space="0" w:color="auto"/>
        <w:bottom w:val="none" w:sz="0" w:space="0" w:color="auto"/>
        <w:right w:val="none" w:sz="0" w:space="0" w:color="auto"/>
      </w:divBdr>
    </w:div>
    <w:div w:id="1985623746">
      <w:bodyDiv w:val="1"/>
      <w:marLeft w:val="0"/>
      <w:marRight w:val="0"/>
      <w:marTop w:val="0"/>
      <w:marBottom w:val="0"/>
      <w:divBdr>
        <w:top w:val="none" w:sz="0" w:space="0" w:color="auto"/>
        <w:left w:val="none" w:sz="0" w:space="0" w:color="auto"/>
        <w:bottom w:val="none" w:sz="0" w:space="0" w:color="auto"/>
        <w:right w:val="none" w:sz="0" w:space="0" w:color="auto"/>
      </w:divBdr>
    </w:div>
    <w:div w:id="19997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merton.gov.uk" TargetMode="External"/><Relationship Id="rId4" Type="http://schemas.microsoft.com/office/2007/relationships/stylesWithEffects" Target="stylesWithEffects.xml"/><Relationship Id="rId9" Type="http://schemas.openxmlformats.org/officeDocument/2006/relationships/hyperlink" Target="mailto:Zoe.Church@merton.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A3ECA8-AD2D-49C6-94EA-D0FF400B58BC}">
  <ds:schemaRefs>
    <ds:schemaRef ds:uri="http://schemas.openxmlformats.org/officeDocument/2006/bibliography"/>
  </ds:schemaRefs>
</ds:datastoreItem>
</file>

<file path=customXml/itemProps2.xml><?xml version="1.0" encoding="utf-8"?>
<ds:datastoreItem xmlns:ds="http://schemas.openxmlformats.org/officeDocument/2006/customXml" ds:itemID="{EAAC65F2-8ABE-4E0F-AF61-97C83E2A9EA0}"/>
</file>

<file path=customXml/itemProps3.xml><?xml version="1.0" encoding="utf-8"?>
<ds:datastoreItem xmlns:ds="http://schemas.openxmlformats.org/officeDocument/2006/customXml" ds:itemID="{FD83D212-C44E-4DD9-B344-0CB5A6962F64}"/>
</file>

<file path=customXml/itemProps4.xml><?xml version="1.0" encoding="utf-8"?>
<ds:datastoreItem xmlns:ds="http://schemas.openxmlformats.org/officeDocument/2006/customXml" ds:itemID="{5B35C20C-ABF2-4620-BBB6-8916ACA0A4DB}"/>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Schools Forum    October 16 2006</vt:lpstr>
    </vt:vector>
  </TitlesOfParts>
  <Company>LBM</Company>
  <LinksUpToDate>false</LinksUpToDate>
  <CharactersWithSpaces>6137</CharactersWithSpaces>
  <SharedDoc>false</SharedDoc>
  <HLinks>
    <vt:vector size="12" baseType="variant">
      <vt:variant>
        <vt:i4>6225995</vt:i4>
      </vt:variant>
      <vt:variant>
        <vt:i4>3</vt:i4>
      </vt:variant>
      <vt:variant>
        <vt:i4>0</vt:i4>
      </vt:variant>
      <vt:variant>
        <vt:i4>5</vt:i4>
      </vt:variant>
      <vt:variant>
        <vt:lpwstr>http://www.merton.gov.uk/</vt:lpwstr>
      </vt:variant>
      <vt:variant>
        <vt:lpwstr/>
      </vt:variant>
      <vt:variant>
        <vt:i4>5439590</vt:i4>
      </vt:variant>
      <vt:variant>
        <vt:i4>0</vt:i4>
      </vt:variant>
      <vt:variant>
        <vt:i4>0</vt:i4>
      </vt:variant>
      <vt:variant>
        <vt:i4>5</vt:i4>
      </vt:variant>
      <vt:variant>
        <vt:lpwstr>mailto:Zoe.Church@merton.gov.uk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October 16 2006</dc:title>
  <dc:creator>Zoe Church</dc:creator>
  <cp:lastModifiedBy>Debbie Maleci</cp:lastModifiedBy>
  <cp:revision>4</cp:revision>
  <cp:lastPrinted>2017-01-25T08:54:00Z</cp:lastPrinted>
  <dcterms:created xsi:type="dcterms:W3CDTF">2017-01-25T21:02:00Z</dcterms:created>
  <dcterms:modified xsi:type="dcterms:W3CDTF">2017-08-10T09:54:00Z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