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3182" w14:textId="77777777" w:rsidR="00904A8D" w:rsidRDefault="00904A8D">
      <w:pPr>
        <w:pStyle w:val="Header"/>
        <w:tabs>
          <w:tab w:val="clear" w:pos="4153"/>
          <w:tab w:val="clear" w:pos="8306"/>
        </w:tabs>
        <w:rPr>
          <w:rFonts w:ascii="Times New Roman" w:hAnsi="Times New Roman"/>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rsidRPr="00420DD5" w14:paraId="6E614FF5" w14:textId="77777777">
        <w:trPr>
          <w:trHeight w:val="680"/>
        </w:trPr>
        <w:tc>
          <w:tcPr>
            <w:tcW w:w="6440" w:type="dxa"/>
          </w:tcPr>
          <w:p w14:paraId="25B822D1" w14:textId="77777777" w:rsidR="00904A8D" w:rsidRDefault="00904A8D">
            <w:pPr>
              <w:pStyle w:val="Header"/>
              <w:tabs>
                <w:tab w:val="clear" w:pos="4153"/>
                <w:tab w:val="clear" w:pos="8306"/>
              </w:tabs>
              <w:spacing w:after="120"/>
              <w:rPr>
                <w:b/>
                <w:sz w:val="32"/>
              </w:rPr>
            </w:pPr>
          </w:p>
          <w:p w14:paraId="241C768E" w14:textId="5477717A" w:rsidR="00904A8D" w:rsidRPr="00420DD5" w:rsidRDefault="009667E9" w:rsidP="00AD3F1E">
            <w:pPr>
              <w:pStyle w:val="Header"/>
              <w:tabs>
                <w:tab w:val="clear" w:pos="4153"/>
                <w:tab w:val="clear" w:pos="8306"/>
              </w:tabs>
              <w:spacing w:after="120"/>
              <w:rPr>
                <w:b/>
              </w:rPr>
            </w:pPr>
            <w:r w:rsidRPr="00420DD5">
              <w:rPr>
                <w:b/>
                <w:sz w:val="32"/>
              </w:rPr>
              <w:t xml:space="preserve">Schools Forum    </w:t>
            </w:r>
            <w:r w:rsidR="00154EB3">
              <w:rPr>
                <w:b/>
                <w:sz w:val="32"/>
              </w:rPr>
              <w:t>24</w:t>
            </w:r>
            <w:r w:rsidR="005C145A" w:rsidRPr="00420DD5">
              <w:rPr>
                <w:b/>
                <w:sz w:val="32"/>
                <w:vertAlign w:val="superscript"/>
              </w:rPr>
              <w:t>th</w:t>
            </w:r>
            <w:r w:rsidR="005C145A" w:rsidRPr="00420DD5">
              <w:rPr>
                <w:b/>
                <w:sz w:val="32"/>
              </w:rPr>
              <w:t xml:space="preserve"> </w:t>
            </w:r>
            <w:r w:rsidR="00154EB3">
              <w:rPr>
                <w:b/>
                <w:sz w:val="32"/>
              </w:rPr>
              <w:t>June</w:t>
            </w:r>
            <w:r w:rsidR="00904A8D" w:rsidRPr="00420DD5">
              <w:rPr>
                <w:b/>
                <w:sz w:val="32"/>
              </w:rPr>
              <w:t xml:space="preserve"> 20</w:t>
            </w:r>
            <w:r w:rsidR="00154EB3">
              <w:rPr>
                <w:b/>
                <w:sz w:val="32"/>
              </w:rPr>
              <w:t>21</w:t>
            </w:r>
          </w:p>
        </w:tc>
        <w:tc>
          <w:tcPr>
            <w:tcW w:w="2946" w:type="dxa"/>
          </w:tcPr>
          <w:p w14:paraId="72FCFC20" w14:textId="28AEEB89" w:rsidR="00904A8D" w:rsidRPr="00420DD5" w:rsidRDefault="00904A8D" w:rsidP="00A87FA9">
            <w:pPr>
              <w:pStyle w:val="Header"/>
              <w:tabs>
                <w:tab w:val="clear" w:pos="4153"/>
                <w:tab w:val="clear" w:pos="8306"/>
              </w:tabs>
              <w:spacing w:before="120"/>
              <w:rPr>
                <w:sz w:val="40"/>
                <w:szCs w:val="40"/>
              </w:rPr>
            </w:pPr>
            <w:r w:rsidRPr="00420DD5">
              <w:t xml:space="preserve">Item </w:t>
            </w:r>
            <w:r w:rsidR="00DB5E20" w:rsidRPr="00420DD5">
              <w:rPr>
                <w:sz w:val="40"/>
                <w:szCs w:val="40"/>
              </w:rPr>
              <w:t xml:space="preserve">   </w:t>
            </w:r>
            <w:r w:rsidR="00A76875">
              <w:rPr>
                <w:sz w:val="40"/>
                <w:szCs w:val="40"/>
              </w:rPr>
              <w:t>3</w:t>
            </w:r>
            <w:bookmarkStart w:id="0" w:name="_GoBack"/>
            <w:bookmarkEnd w:id="0"/>
          </w:p>
        </w:tc>
      </w:tr>
    </w:tbl>
    <w:p w14:paraId="26455F6B" w14:textId="77777777" w:rsidR="00904A8D" w:rsidRPr="00420DD5" w:rsidRDefault="00904A8D">
      <w:pPr>
        <w:pStyle w:val="Header"/>
        <w:tabs>
          <w:tab w:val="clear" w:pos="4153"/>
          <w:tab w:val="clear" w:pos="8306"/>
        </w:tabs>
        <w:jc w:val="right"/>
        <w:rPr>
          <w:highlight w:val="yellow"/>
        </w:rPr>
      </w:pPr>
    </w:p>
    <w:p w14:paraId="4E6A579F" w14:textId="7973B341" w:rsidR="00904A8D" w:rsidRPr="00420DD5" w:rsidRDefault="00DB5E20">
      <w:pPr>
        <w:pStyle w:val="Header"/>
        <w:tabs>
          <w:tab w:val="clear" w:pos="4153"/>
          <w:tab w:val="clear" w:pos="8306"/>
        </w:tabs>
      </w:pPr>
      <w:r w:rsidRPr="00420DD5">
        <w:rPr>
          <w:b/>
        </w:rPr>
        <w:t>SUBJECT:  D</w:t>
      </w:r>
      <w:r w:rsidR="00904A8D" w:rsidRPr="00420DD5">
        <w:rPr>
          <w:b/>
        </w:rPr>
        <w:t xml:space="preserve">SG </w:t>
      </w:r>
      <w:r w:rsidR="00AD3F1E" w:rsidRPr="00420DD5">
        <w:rPr>
          <w:b/>
        </w:rPr>
        <w:t>outturn r</w:t>
      </w:r>
      <w:r w:rsidRPr="00420DD5">
        <w:rPr>
          <w:b/>
        </w:rPr>
        <w:t xml:space="preserve">eport for </w:t>
      </w:r>
      <w:r w:rsidR="008B1D69">
        <w:rPr>
          <w:b/>
        </w:rPr>
        <w:t>financial</w:t>
      </w:r>
      <w:r w:rsidR="00154EB3">
        <w:rPr>
          <w:b/>
        </w:rPr>
        <w:t xml:space="preserve"> year 2020/21</w:t>
      </w:r>
    </w:p>
    <w:p w14:paraId="60B0611A" w14:textId="77777777" w:rsidR="00904A8D" w:rsidRPr="00420DD5" w:rsidRDefault="00904A8D">
      <w:pPr>
        <w:pStyle w:val="Header"/>
        <w:tabs>
          <w:tab w:val="clear" w:pos="4153"/>
          <w:tab w:val="clear" w:pos="8306"/>
        </w:tabs>
        <w:rPr>
          <w:b/>
        </w:rPr>
      </w:pPr>
    </w:p>
    <w:p w14:paraId="698A0353" w14:textId="25B76B9E" w:rsidR="00904A8D" w:rsidRPr="00420DD5" w:rsidRDefault="00904A8D">
      <w:pPr>
        <w:pStyle w:val="Header"/>
        <w:tabs>
          <w:tab w:val="clear" w:pos="4153"/>
          <w:tab w:val="clear" w:pos="8306"/>
        </w:tabs>
      </w:pPr>
      <w:r w:rsidRPr="00420DD5">
        <w:rPr>
          <w:b/>
        </w:rPr>
        <w:t xml:space="preserve">LEAD OFFICER: </w:t>
      </w:r>
      <w:r w:rsidR="00154EB3">
        <w:rPr>
          <w:b/>
        </w:rPr>
        <w:t>Pat Harvey</w:t>
      </w:r>
      <w:r w:rsidRPr="00420DD5">
        <w:rPr>
          <w:bCs/>
        </w:rPr>
        <w:t>,</w:t>
      </w:r>
      <w:r w:rsidRPr="00420DD5">
        <w:t xml:space="preserve"> </w:t>
      </w:r>
      <w:r w:rsidR="00F0466C">
        <w:t xml:space="preserve">Interim Principal Accountant, </w:t>
      </w:r>
      <w:r w:rsidRPr="00420DD5">
        <w:t>Children, Schools and Families Finance</w:t>
      </w:r>
    </w:p>
    <w:p w14:paraId="6EAE8208" w14:textId="77777777" w:rsidR="00904A8D" w:rsidRPr="00420DD5" w:rsidRDefault="00904A8D">
      <w:pPr>
        <w:pStyle w:val="Header"/>
        <w:tabs>
          <w:tab w:val="clear" w:pos="4153"/>
          <w:tab w:val="clear" w:pos="8306"/>
        </w:tabs>
        <w:rPr>
          <w:b/>
        </w:rPr>
      </w:pPr>
    </w:p>
    <w:p w14:paraId="37BF68EA" w14:textId="77777777" w:rsidR="00904A8D" w:rsidRPr="00420DD5" w:rsidRDefault="00904A8D">
      <w:pPr>
        <w:pStyle w:val="Header"/>
        <w:tabs>
          <w:tab w:val="clear" w:pos="4153"/>
          <w:tab w:val="clear" w:pos="8306"/>
        </w:tabs>
        <w:rPr>
          <w:b/>
          <w:sz w:val="28"/>
        </w:rPr>
      </w:pPr>
      <w:r w:rsidRPr="00420DD5">
        <w:rPr>
          <w:b/>
          <w:sz w:val="28"/>
        </w:rPr>
        <w:t xml:space="preserve">RECOMMENDATION </w:t>
      </w:r>
    </w:p>
    <w:p w14:paraId="4528A429" w14:textId="77777777" w:rsidR="00904A8D" w:rsidRPr="00420DD5" w:rsidRDefault="00904A8D">
      <w:pPr>
        <w:pStyle w:val="Header"/>
        <w:tabs>
          <w:tab w:val="clear" w:pos="4153"/>
          <w:tab w:val="clear" w:pos="8306"/>
        </w:tabs>
        <w:rPr>
          <w:b/>
        </w:rPr>
      </w:pPr>
    </w:p>
    <w:p w14:paraId="432E99DA" w14:textId="77777777" w:rsidR="00DB5E20" w:rsidRPr="00420DD5" w:rsidRDefault="00904A8D">
      <w:pPr>
        <w:pStyle w:val="Header"/>
        <w:tabs>
          <w:tab w:val="clear" w:pos="4153"/>
          <w:tab w:val="clear" w:pos="8306"/>
        </w:tabs>
        <w:ind w:left="360"/>
        <w:rPr>
          <w:b/>
        </w:rPr>
      </w:pPr>
      <w:r w:rsidRPr="00420DD5">
        <w:rPr>
          <w:b/>
        </w:rPr>
        <w:t>That the Forum</w:t>
      </w:r>
      <w:r w:rsidR="00DB5E20" w:rsidRPr="00420DD5">
        <w:rPr>
          <w:b/>
        </w:rPr>
        <w:t>:</w:t>
      </w:r>
    </w:p>
    <w:p w14:paraId="6DD11BAE" w14:textId="77777777" w:rsidR="00DB5E20" w:rsidRPr="00420DD5" w:rsidRDefault="00DB5E20" w:rsidP="00DB5E20">
      <w:pPr>
        <w:pStyle w:val="Header"/>
        <w:tabs>
          <w:tab w:val="clear" w:pos="4153"/>
          <w:tab w:val="clear" w:pos="8306"/>
        </w:tabs>
        <w:rPr>
          <w:b/>
        </w:rPr>
      </w:pPr>
    </w:p>
    <w:p w14:paraId="0A1FDA1A" w14:textId="445C076E" w:rsidR="00AD3F1E" w:rsidRDefault="00AD3F1E" w:rsidP="00DB5E20">
      <w:pPr>
        <w:pStyle w:val="Header"/>
        <w:numPr>
          <w:ilvl w:val="0"/>
          <w:numId w:val="4"/>
        </w:numPr>
        <w:tabs>
          <w:tab w:val="clear" w:pos="4153"/>
          <w:tab w:val="clear" w:pos="8306"/>
        </w:tabs>
        <w:rPr>
          <w:b/>
        </w:rPr>
      </w:pPr>
      <w:r w:rsidRPr="00420DD5">
        <w:rPr>
          <w:b/>
        </w:rPr>
        <w:t>Notes the outturn position of the Dedicated Schools Grant (DSG) as at 31</w:t>
      </w:r>
      <w:r w:rsidRPr="00420DD5">
        <w:rPr>
          <w:b/>
          <w:vertAlign w:val="superscript"/>
        </w:rPr>
        <w:t>st</w:t>
      </w:r>
      <w:r w:rsidR="00154EB3">
        <w:rPr>
          <w:b/>
        </w:rPr>
        <w:t xml:space="preserve"> March 2021</w:t>
      </w:r>
      <w:r w:rsidR="00904B01">
        <w:rPr>
          <w:b/>
        </w:rPr>
        <w:t>, and</w:t>
      </w:r>
    </w:p>
    <w:p w14:paraId="1995E9B8" w14:textId="24137CBA" w:rsidR="00904B01" w:rsidRPr="00420DD5" w:rsidRDefault="00904B01" w:rsidP="00DB5E20">
      <w:pPr>
        <w:pStyle w:val="Header"/>
        <w:numPr>
          <w:ilvl w:val="0"/>
          <w:numId w:val="4"/>
        </w:numPr>
        <w:tabs>
          <w:tab w:val="clear" w:pos="4153"/>
          <w:tab w:val="clear" w:pos="8306"/>
        </w:tabs>
        <w:rPr>
          <w:b/>
        </w:rPr>
      </w:pPr>
      <w:r>
        <w:rPr>
          <w:b/>
        </w:rPr>
        <w:t>Notes the cumulative DSG deficit position as at 31</w:t>
      </w:r>
      <w:r w:rsidR="004E42C3" w:rsidRPr="004E42C3">
        <w:rPr>
          <w:b/>
          <w:vertAlign w:val="superscript"/>
        </w:rPr>
        <w:t>st</w:t>
      </w:r>
      <w:r w:rsidR="004E42C3">
        <w:rPr>
          <w:b/>
        </w:rPr>
        <w:t xml:space="preserve"> </w:t>
      </w:r>
      <w:r w:rsidR="00393871">
        <w:rPr>
          <w:b/>
        </w:rPr>
        <w:t>March 2021.</w:t>
      </w:r>
    </w:p>
    <w:p w14:paraId="02FEBC8A" w14:textId="77777777" w:rsidR="00420DD5" w:rsidRPr="00420DD5" w:rsidRDefault="00420DD5" w:rsidP="00420DD5">
      <w:pPr>
        <w:pStyle w:val="Header"/>
        <w:tabs>
          <w:tab w:val="clear" w:pos="4153"/>
          <w:tab w:val="clear" w:pos="8306"/>
        </w:tabs>
        <w:ind w:left="720"/>
        <w:rPr>
          <w:b/>
        </w:rPr>
      </w:pPr>
    </w:p>
    <w:p w14:paraId="18F6B12B" w14:textId="77777777" w:rsidR="00904A8D" w:rsidRPr="00420DD5" w:rsidRDefault="00904A8D">
      <w:pPr>
        <w:pStyle w:val="Header"/>
        <w:tabs>
          <w:tab w:val="clear" w:pos="4153"/>
          <w:tab w:val="clear" w:pos="8306"/>
        </w:tabs>
        <w:rPr>
          <w:b/>
        </w:rPr>
      </w:pPr>
    </w:p>
    <w:p w14:paraId="4AF78246" w14:textId="77777777" w:rsidR="00904A8D" w:rsidRPr="00420DD5" w:rsidRDefault="00904A8D">
      <w:pPr>
        <w:pStyle w:val="Header"/>
        <w:numPr>
          <w:ilvl w:val="0"/>
          <w:numId w:val="3"/>
        </w:numPr>
        <w:tabs>
          <w:tab w:val="clear" w:pos="360"/>
          <w:tab w:val="clear" w:pos="4153"/>
          <w:tab w:val="clear" w:pos="8306"/>
        </w:tabs>
        <w:ind w:left="720" w:hanging="720"/>
        <w:rPr>
          <w:b/>
          <w:sz w:val="28"/>
        </w:rPr>
      </w:pPr>
      <w:r w:rsidRPr="00420DD5">
        <w:rPr>
          <w:b/>
          <w:sz w:val="28"/>
        </w:rPr>
        <w:t>Purpose of report and executive summary</w:t>
      </w:r>
    </w:p>
    <w:p w14:paraId="144DA555" w14:textId="77777777" w:rsidR="00904A8D" w:rsidRPr="00420DD5" w:rsidRDefault="00904A8D">
      <w:pPr>
        <w:pStyle w:val="Header"/>
        <w:tabs>
          <w:tab w:val="clear" w:pos="4153"/>
          <w:tab w:val="clear" w:pos="8306"/>
        </w:tabs>
        <w:rPr>
          <w:b/>
          <w:sz w:val="28"/>
          <w:highlight w:val="yellow"/>
        </w:rPr>
      </w:pPr>
    </w:p>
    <w:p w14:paraId="01CC7B22" w14:textId="506E5F47" w:rsidR="00F4301A" w:rsidRDefault="00904A8D" w:rsidP="0048394B">
      <w:pPr>
        <w:pStyle w:val="BodyTextIndent3"/>
        <w:ind w:hanging="720"/>
        <w:jc w:val="both"/>
        <w:rPr>
          <w:rFonts w:cs="Times New Roman"/>
          <w:sz w:val="24"/>
          <w:szCs w:val="24"/>
        </w:rPr>
      </w:pPr>
      <w:r w:rsidRPr="00420DD5">
        <w:t>1.1</w:t>
      </w:r>
      <w:r w:rsidRPr="00420DD5">
        <w:tab/>
      </w:r>
      <w:r w:rsidR="00C871AB" w:rsidRPr="00420DD5">
        <w:rPr>
          <w:rFonts w:cs="Times New Roman"/>
          <w:sz w:val="24"/>
          <w:szCs w:val="24"/>
        </w:rPr>
        <w:t xml:space="preserve">Detailed analysis of </w:t>
      </w:r>
      <w:r w:rsidR="00904B01">
        <w:rPr>
          <w:rFonts w:cs="Times New Roman"/>
          <w:sz w:val="24"/>
          <w:szCs w:val="24"/>
        </w:rPr>
        <w:t xml:space="preserve">Dedicated Schools Grant (DSG) </w:t>
      </w:r>
      <w:r w:rsidR="00C871AB" w:rsidRPr="00420DD5">
        <w:rPr>
          <w:rFonts w:cs="Times New Roman"/>
          <w:sz w:val="24"/>
          <w:szCs w:val="24"/>
        </w:rPr>
        <w:t>budget</w:t>
      </w:r>
      <w:r w:rsidR="00D82BA1" w:rsidRPr="00420DD5">
        <w:rPr>
          <w:rFonts w:cs="Times New Roman"/>
          <w:sz w:val="24"/>
          <w:szCs w:val="24"/>
        </w:rPr>
        <w:t xml:space="preserve">s as at the end of </w:t>
      </w:r>
      <w:r w:rsidR="00420DD5" w:rsidRPr="00420DD5">
        <w:rPr>
          <w:rFonts w:cs="Times New Roman"/>
          <w:sz w:val="24"/>
          <w:szCs w:val="24"/>
        </w:rPr>
        <w:t>March</w:t>
      </w:r>
      <w:r w:rsidR="00D82BA1" w:rsidRPr="00420DD5">
        <w:rPr>
          <w:rFonts w:cs="Times New Roman"/>
          <w:sz w:val="24"/>
          <w:szCs w:val="24"/>
        </w:rPr>
        <w:t xml:space="preserve"> 2</w:t>
      </w:r>
      <w:r w:rsidR="00AA199E">
        <w:rPr>
          <w:rFonts w:cs="Times New Roman"/>
          <w:sz w:val="24"/>
          <w:szCs w:val="24"/>
        </w:rPr>
        <w:t>021</w:t>
      </w:r>
      <w:r w:rsidR="00C871AB" w:rsidRPr="00420DD5">
        <w:rPr>
          <w:rFonts w:cs="Times New Roman"/>
          <w:sz w:val="24"/>
          <w:szCs w:val="24"/>
        </w:rPr>
        <w:t xml:space="preserve"> </w:t>
      </w:r>
      <w:r w:rsidR="00904B01">
        <w:rPr>
          <w:rFonts w:cs="Times New Roman"/>
          <w:sz w:val="24"/>
          <w:szCs w:val="24"/>
        </w:rPr>
        <w:t>reports</w:t>
      </w:r>
      <w:r w:rsidR="00C871AB" w:rsidRPr="00420DD5">
        <w:rPr>
          <w:rFonts w:cs="Times New Roman"/>
          <w:sz w:val="24"/>
          <w:szCs w:val="24"/>
        </w:rPr>
        <w:t xml:space="preserve"> over and underspends </w:t>
      </w:r>
      <w:r w:rsidR="00904B01">
        <w:rPr>
          <w:rFonts w:cs="Times New Roman"/>
          <w:sz w:val="24"/>
          <w:szCs w:val="24"/>
        </w:rPr>
        <w:t xml:space="preserve">within the four blocks of DSG </w:t>
      </w:r>
      <w:r w:rsidR="00C871AB" w:rsidRPr="00420DD5">
        <w:rPr>
          <w:rFonts w:cs="Times New Roman"/>
          <w:sz w:val="24"/>
          <w:szCs w:val="24"/>
        </w:rPr>
        <w:t>th</w:t>
      </w:r>
      <w:r w:rsidR="00420DD5" w:rsidRPr="00420DD5">
        <w:rPr>
          <w:rFonts w:cs="Times New Roman"/>
          <w:sz w:val="24"/>
          <w:szCs w:val="24"/>
        </w:rPr>
        <w:t>at combine to an overall</w:t>
      </w:r>
      <w:r w:rsidR="00B546F6" w:rsidRPr="00420DD5">
        <w:rPr>
          <w:rFonts w:cs="Times New Roman"/>
          <w:sz w:val="24"/>
          <w:szCs w:val="24"/>
        </w:rPr>
        <w:t xml:space="preserve"> over</w:t>
      </w:r>
      <w:r w:rsidR="00F65D9A" w:rsidRPr="00420DD5">
        <w:rPr>
          <w:rFonts w:cs="Times New Roman"/>
          <w:sz w:val="24"/>
          <w:szCs w:val="24"/>
        </w:rPr>
        <w:t>spend of £</w:t>
      </w:r>
      <w:r w:rsidR="00F0466C">
        <w:rPr>
          <w:rFonts w:cs="Times New Roman"/>
          <w:sz w:val="24"/>
          <w:szCs w:val="24"/>
        </w:rPr>
        <w:t>12.231</w:t>
      </w:r>
      <w:r w:rsidR="00A26786" w:rsidRPr="00420DD5">
        <w:rPr>
          <w:rFonts w:cs="Times New Roman"/>
          <w:sz w:val="24"/>
          <w:szCs w:val="24"/>
        </w:rPr>
        <w:t>m</w:t>
      </w:r>
      <w:r w:rsidR="00012FC7">
        <w:rPr>
          <w:rFonts w:cs="Times New Roman"/>
          <w:sz w:val="24"/>
          <w:szCs w:val="24"/>
        </w:rPr>
        <w:t xml:space="preserve"> as per table1 </w:t>
      </w:r>
      <w:r w:rsidR="00C871AB" w:rsidRPr="00420DD5">
        <w:rPr>
          <w:rFonts w:cs="Times New Roman"/>
          <w:sz w:val="24"/>
          <w:szCs w:val="24"/>
        </w:rPr>
        <w:t>below</w:t>
      </w:r>
      <w:r w:rsidR="00950F3B">
        <w:rPr>
          <w:rFonts w:cs="Times New Roman"/>
          <w:sz w:val="24"/>
          <w:szCs w:val="24"/>
        </w:rPr>
        <w:t xml:space="preserve"> and cumulative DSG deficit </w:t>
      </w:r>
      <w:r w:rsidR="00DE37CE">
        <w:rPr>
          <w:rFonts w:cs="Times New Roman"/>
          <w:sz w:val="24"/>
          <w:szCs w:val="24"/>
        </w:rPr>
        <w:t>of</w:t>
      </w:r>
      <w:r w:rsidR="00950F3B">
        <w:rPr>
          <w:rFonts w:cs="Times New Roman"/>
          <w:sz w:val="24"/>
          <w:szCs w:val="24"/>
        </w:rPr>
        <w:t xml:space="preserve"> £24.981m</w:t>
      </w:r>
      <w:r w:rsidR="00C871AB" w:rsidRPr="00420DD5">
        <w:rPr>
          <w:rFonts w:cs="Times New Roman"/>
          <w:sz w:val="24"/>
          <w:szCs w:val="24"/>
        </w:rPr>
        <w:t>.</w:t>
      </w:r>
      <w:r w:rsidR="0016255C">
        <w:rPr>
          <w:rFonts w:cs="Times New Roman"/>
          <w:sz w:val="24"/>
          <w:szCs w:val="24"/>
        </w:rPr>
        <w:t xml:space="preserve"> Appendix A details previous years DSG deficits.</w:t>
      </w:r>
    </w:p>
    <w:p w14:paraId="7AF17079" w14:textId="77777777" w:rsidR="00950F3B" w:rsidRPr="00420DD5" w:rsidRDefault="00950F3B" w:rsidP="0048394B">
      <w:pPr>
        <w:pStyle w:val="BodyTextIndent3"/>
        <w:ind w:hanging="720"/>
        <w:jc w:val="both"/>
        <w:rPr>
          <w:sz w:val="24"/>
          <w:szCs w:val="24"/>
        </w:rPr>
      </w:pPr>
    </w:p>
    <w:p w14:paraId="1C9C853F" w14:textId="77777777" w:rsidR="00F4301A" w:rsidRPr="00420DD5" w:rsidRDefault="00F4301A" w:rsidP="00F4301A">
      <w:pPr>
        <w:pStyle w:val="BodyTextIndent3"/>
        <w:ind w:left="0"/>
        <w:jc w:val="both"/>
        <w:rPr>
          <w:sz w:val="24"/>
          <w:szCs w:val="24"/>
        </w:rPr>
      </w:pPr>
    </w:p>
    <w:p w14:paraId="55B41466" w14:textId="52107F54" w:rsidR="00F4301A" w:rsidRPr="00420DD5" w:rsidRDefault="00904B01" w:rsidP="00F4301A">
      <w:pPr>
        <w:pStyle w:val="BodyTextIndent3"/>
        <w:ind w:left="0"/>
        <w:jc w:val="both"/>
        <w:rPr>
          <w:sz w:val="24"/>
          <w:szCs w:val="24"/>
          <w:highlight w:val="yellow"/>
        </w:rPr>
      </w:pPr>
      <w:r w:rsidRPr="00904B01">
        <w:rPr>
          <w:noProof/>
          <w:lang w:eastAsia="en-GB"/>
        </w:rPr>
        <w:drawing>
          <wp:inline distT="0" distB="0" distL="0" distR="0" wp14:anchorId="6908BBCB" wp14:editId="77E67130">
            <wp:extent cx="5759450" cy="26826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682634"/>
                    </a:xfrm>
                    <a:prstGeom prst="rect">
                      <a:avLst/>
                    </a:prstGeom>
                    <a:noFill/>
                    <a:ln>
                      <a:noFill/>
                    </a:ln>
                  </pic:spPr>
                </pic:pic>
              </a:graphicData>
            </a:graphic>
          </wp:inline>
        </w:drawing>
      </w:r>
    </w:p>
    <w:p w14:paraId="2335CA06" w14:textId="56D8074E" w:rsidR="005D371C" w:rsidRDefault="005D371C" w:rsidP="00F4301A">
      <w:pPr>
        <w:pStyle w:val="BodyTextIndent3"/>
        <w:ind w:left="0"/>
        <w:jc w:val="both"/>
        <w:rPr>
          <w:sz w:val="24"/>
          <w:szCs w:val="24"/>
          <w:highlight w:val="yellow"/>
        </w:rPr>
      </w:pPr>
    </w:p>
    <w:p w14:paraId="389D1720" w14:textId="77777777" w:rsidR="00DE37CE" w:rsidRPr="00420DD5" w:rsidRDefault="00DE37CE" w:rsidP="00F4301A">
      <w:pPr>
        <w:pStyle w:val="BodyTextIndent3"/>
        <w:ind w:left="0"/>
        <w:jc w:val="both"/>
        <w:rPr>
          <w:sz w:val="24"/>
          <w:szCs w:val="24"/>
          <w:highlight w:val="yellow"/>
        </w:rPr>
      </w:pPr>
    </w:p>
    <w:p w14:paraId="61940B8A" w14:textId="19E66CFC" w:rsidR="00904A8D" w:rsidRPr="00420DD5" w:rsidRDefault="00393871" w:rsidP="00CA1E66">
      <w:pPr>
        <w:pStyle w:val="BodyText"/>
        <w:numPr>
          <w:ilvl w:val="1"/>
          <w:numId w:val="3"/>
        </w:numPr>
        <w:jc w:val="both"/>
        <w:rPr>
          <w:rFonts w:ascii="Arial" w:hAnsi="Arial"/>
        </w:rPr>
      </w:pPr>
      <w:r>
        <w:rPr>
          <w:rFonts w:ascii="Arial" w:hAnsi="Arial"/>
        </w:rPr>
        <w:t>The DSG</w:t>
      </w:r>
      <w:r>
        <w:rPr>
          <w:rFonts w:ascii="Arial" w:hAnsi="Arial" w:cs="Arial"/>
          <w:color w:val="0B0C0C"/>
          <w:lang w:eastAsia="en-GB"/>
        </w:rPr>
        <w:t xml:space="preserve"> is a ring-fenced specific grant and it must be used in support of the schools budget as defined in the School and Early Years Finance (England) Regulations 2020; it can be used for no other </w:t>
      </w:r>
      <w:r w:rsidR="00183D42">
        <w:rPr>
          <w:rFonts w:ascii="Arial" w:hAnsi="Arial" w:cs="Arial"/>
          <w:color w:val="0B0C0C"/>
          <w:lang w:eastAsia="en-GB"/>
        </w:rPr>
        <w:t xml:space="preserve">council </w:t>
      </w:r>
      <w:r>
        <w:rPr>
          <w:rFonts w:ascii="Arial" w:hAnsi="Arial" w:cs="Arial"/>
          <w:color w:val="0B0C0C"/>
          <w:lang w:eastAsia="en-GB"/>
        </w:rPr>
        <w:t>purposes.</w:t>
      </w:r>
    </w:p>
    <w:p w14:paraId="078B924A" w14:textId="77777777" w:rsidR="00604C6B" w:rsidRDefault="00604C6B" w:rsidP="00CA1E66">
      <w:pPr>
        <w:pStyle w:val="BodyText"/>
        <w:ind w:left="720"/>
        <w:jc w:val="both"/>
        <w:rPr>
          <w:rFonts w:ascii="Arial" w:hAnsi="Arial"/>
          <w:highlight w:val="yellow"/>
        </w:rPr>
      </w:pPr>
    </w:p>
    <w:p w14:paraId="6156D0DE" w14:textId="7EDA7A0D" w:rsidR="009771D4" w:rsidRDefault="009771D4" w:rsidP="00CA1E66">
      <w:pPr>
        <w:pStyle w:val="BodyText"/>
        <w:ind w:left="720"/>
        <w:jc w:val="both"/>
        <w:rPr>
          <w:rFonts w:ascii="Arial" w:hAnsi="Arial"/>
          <w:highlight w:val="yellow"/>
        </w:rPr>
      </w:pPr>
    </w:p>
    <w:p w14:paraId="1E893B56" w14:textId="7002725A" w:rsidR="00DE37CE" w:rsidRDefault="00DE37CE" w:rsidP="00CA1E66">
      <w:pPr>
        <w:pStyle w:val="BodyText"/>
        <w:ind w:left="720"/>
        <w:jc w:val="both"/>
        <w:rPr>
          <w:rFonts w:ascii="Arial" w:hAnsi="Arial"/>
          <w:highlight w:val="yellow"/>
        </w:rPr>
      </w:pPr>
    </w:p>
    <w:p w14:paraId="28E9DC8F" w14:textId="77777777" w:rsidR="00DE37CE" w:rsidRPr="00420DD5" w:rsidRDefault="00DE37CE" w:rsidP="00CA1E66">
      <w:pPr>
        <w:pStyle w:val="BodyText"/>
        <w:ind w:left="720"/>
        <w:jc w:val="both"/>
        <w:rPr>
          <w:rFonts w:ascii="Arial" w:hAnsi="Arial"/>
          <w:highlight w:val="yellow"/>
        </w:rPr>
      </w:pPr>
    </w:p>
    <w:p w14:paraId="5A97B514" w14:textId="364AA9CD" w:rsidR="00904A8D" w:rsidRPr="00420DD5" w:rsidRDefault="00DE37CE" w:rsidP="00CA1E66">
      <w:pPr>
        <w:pStyle w:val="Header"/>
        <w:numPr>
          <w:ilvl w:val="0"/>
          <w:numId w:val="2"/>
        </w:numPr>
        <w:tabs>
          <w:tab w:val="clear" w:pos="720"/>
          <w:tab w:val="clear" w:pos="4153"/>
          <w:tab w:val="clear" w:pos="8306"/>
        </w:tabs>
        <w:ind w:hanging="720"/>
        <w:jc w:val="both"/>
        <w:rPr>
          <w:b/>
          <w:sz w:val="28"/>
        </w:rPr>
      </w:pPr>
      <w:r>
        <w:rPr>
          <w:b/>
          <w:sz w:val="28"/>
        </w:rPr>
        <w:t xml:space="preserve">DSG </w:t>
      </w:r>
      <w:r w:rsidR="00406709">
        <w:rPr>
          <w:b/>
          <w:sz w:val="28"/>
        </w:rPr>
        <w:t xml:space="preserve">Detail </w:t>
      </w:r>
    </w:p>
    <w:p w14:paraId="090AB7B4" w14:textId="77777777" w:rsidR="00D61E3B" w:rsidRPr="00420DD5" w:rsidRDefault="00D61E3B" w:rsidP="00CA1E66">
      <w:pPr>
        <w:pStyle w:val="Header"/>
        <w:tabs>
          <w:tab w:val="clear" w:pos="4153"/>
          <w:tab w:val="clear" w:pos="8306"/>
        </w:tabs>
        <w:jc w:val="both"/>
        <w:rPr>
          <w:b/>
          <w:sz w:val="28"/>
          <w:highlight w:val="yellow"/>
        </w:rPr>
      </w:pPr>
    </w:p>
    <w:p w14:paraId="7B363C65" w14:textId="005F1401" w:rsidR="00420DD5" w:rsidRPr="00DC4649" w:rsidRDefault="00420DD5" w:rsidP="00CA1E66">
      <w:pPr>
        <w:pStyle w:val="Header"/>
        <w:numPr>
          <w:ilvl w:val="1"/>
          <w:numId w:val="2"/>
        </w:numPr>
        <w:tabs>
          <w:tab w:val="clear" w:pos="4153"/>
          <w:tab w:val="clear" w:pos="8306"/>
        </w:tabs>
        <w:ind w:hanging="720"/>
        <w:jc w:val="both"/>
      </w:pPr>
      <w:r w:rsidRPr="00DC4649">
        <w:t>Merton’s Schools, Central Schools Services, and Early Yea</w:t>
      </w:r>
      <w:r w:rsidR="00F0466C">
        <w:t>rs blocks underspent during 2020</w:t>
      </w:r>
      <w:r w:rsidRPr="00DC4649">
        <w:t>/</w:t>
      </w:r>
      <w:r w:rsidR="00DC4649" w:rsidRPr="00DC4649">
        <w:t>2</w:t>
      </w:r>
      <w:r w:rsidR="00F0466C">
        <w:t>1</w:t>
      </w:r>
      <w:r w:rsidRPr="00DC4649">
        <w:t xml:space="preserve"> while the High Needs Block </w:t>
      </w:r>
      <w:r w:rsidR="00183D42">
        <w:t xml:space="preserve">(HNB) </w:t>
      </w:r>
      <w:r w:rsidRPr="00DC4649">
        <w:t>overspent. Some of these underspends were as a result of management action to reduce the overall overspend expected in the DSG as a whole.</w:t>
      </w:r>
    </w:p>
    <w:p w14:paraId="6AB7DDE2" w14:textId="77777777" w:rsidR="00420DD5" w:rsidRPr="00DC4649" w:rsidRDefault="00420DD5" w:rsidP="00CA1E66">
      <w:pPr>
        <w:pStyle w:val="Header"/>
        <w:tabs>
          <w:tab w:val="clear" w:pos="4153"/>
          <w:tab w:val="clear" w:pos="8306"/>
        </w:tabs>
        <w:ind w:left="720"/>
        <w:jc w:val="both"/>
      </w:pPr>
    </w:p>
    <w:p w14:paraId="2AC81639" w14:textId="79E818D8" w:rsidR="00420DD5" w:rsidRPr="00DC4649" w:rsidRDefault="00420DD5" w:rsidP="00CA1E66">
      <w:pPr>
        <w:pStyle w:val="Header"/>
        <w:numPr>
          <w:ilvl w:val="1"/>
          <w:numId w:val="2"/>
        </w:numPr>
        <w:tabs>
          <w:tab w:val="clear" w:pos="4153"/>
          <w:tab w:val="clear" w:pos="8306"/>
        </w:tabs>
        <w:ind w:hanging="720"/>
        <w:jc w:val="both"/>
      </w:pPr>
      <w:r w:rsidRPr="00DC4649">
        <w:t>The main reason for the overspend in the HNB is increased numbers of Education Health and Care Plans</w:t>
      </w:r>
      <w:r w:rsidR="00183D42">
        <w:t xml:space="preserve"> (EHCPs) over the past</w:t>
      </w:r>
      <w:r w:rsidRPr="00DC4649">
        <w:t xml:space="preserve"> years which have not been met with corresponding increases in grant funding. This has resulted in the HNB overspen</w:t>
      </w:r>
      <w:r w:rsidR="00950F3B">
        <w:t>d becoming progressively larger</w:t>
      </w:r>
      <w:r w:rsidR="00DA121F">
        <w:t xml:space="preserve"> each year and growth in demand for specialist SEN placements.</w:t>
      </w:r>
    </w:p>
    <w:p w14:paraId="59094A7E" w14:textId="77777777" w:rsidR="00420DD5" w:rsidRPr="00DC4649" w:rsidRDefault="00420DD5" w:rsidP="00CA1E66">
      <w:pPr>
        <w:pStyle w:val="ListParagraph"/>
        <w:jc w:val="both"/>
      </w:pPr>
    </w:p>
    <w:p w14:paraId="547BB00B" w14:textId="77777777" w:rsidR="00420DD5" w:rsidRPr="00DC4649" w:rsidRDefault="00420DD5" w:rsidP="00CA1E66">
      <w:pPr>
        <w:pStyle w:val="Header"/>
        <w:numPr>
          <w:ilvl w:val="1"/>
          <w:numId w:val="2"/>
        </w:numPr>
        <w:tabs>
          <w:tab w:val="clear" w:pos="4153"/>
          <w:tab w:val="clear" w:pos="8306"/>
        </w:tabs>
        <w:ind w:hanging="720"/>
        <w:jc w:val="both"/>
      </w:pPr>
      <w:r w:rsidRPr="00DC4649">
        <w:t>In the past, Merton was able to put plans in place to fund smaller levels of increases. The sheer volume of increase in recent years has just been too large for the borough to cover due to the limited availability of local maintained provision and the time it takes to increase this through expansion and new build.</w:t>
      </w:r>
    </w:p>
    <w:p w14:paraId="281D81E5" w14:textId="77777777" w:rsidR="00420DD5" w:rsidRPr="00420DD5" w:rsidRDefault="00420DD5" w:rsidP="00CA1E66">
      <w:pPr>
        <w:pStyle w:val="ListParagraph"/>
        <w:jc w:val="both"/>
        <w:rPr>
          <w:highlight w:val="yellow"/>
        </w:rPr>
      </w:pPr>
    </w:p>
    <w:p w14:paraId="0F0CF740" w14:textId="43E0DD53" w:rsidR="00420DD5" w:rsidRDefault="00420DD5" w:rsidP="00CA1E66">
      <w:pPr>
        <w:pStyle w:val="Header"/>
        <w:numPr>
          <w:ilvl w:val="1"/>
          <w:numId w:val="2"/>
        </w:numPr>
        <w:tabs>
          <w:tab w:val="clear" w:pos="4153"/>
          <w:tab w:val="clear" w:pos="8306"/>
        </w:tabs>
        <w:ind w:hanging="720"/>
        <w:jc w:val="both"/>
      </w:pPr>
      <w:r w:rsidRPr="002B2619">
        <w:t>In the three years from January 2013 to January 2016, the total number of statements and EHCPs increased from 888 to 1,075 (increase of 187 cases,</w:t>
      </w:r>
      <w:r w:rsidR="00F0466C" w:rsidRPr="002B2619">
        <w:t xml:space="preserve"> 21%). In the six</w:t>
      </w:r>
      <w:r w:rsidRPr="002B2619">
        <w:t xml:space="preserve"> years f</w:t>
      </w:r>
      <w:r w:rsidR="00F0466C" w:rsidRPr="002B2619">
        <w:t>rom January 2016 to January 2021</w:t>
      </w:r>
      <w:r w:rsidRPr="002B2619">
        <w:t xml:space="preserve">, the total number of statements and EHCPs increased </w:t>
      </w:r>
      <w:r w:rsidR="002B2619">
        <w:t>from 1,075 to 2,252 (increase of 1,177</w:t>
      </w:r>
      <w:r w:rsidRPr="002B2619">
        <w:t xml:space="preserve"> cases,</w:t>
      </w:r>
      <w:r w:rsidR="002B2619">
        <w:t xml:space="preserve"> 109</w:t>
      </w:r>
      <w:r w:rsidRPr="002B2619">
        <w:t>%).</w:t>
      </w:r>
      <w:r w:rsidR="002B2619">
        <w:t xml:space="preserve"> </w:t>
      </w:r>
    </w:p>
    <w:p w14:paraId="10DF37E3" w14:textId="77777777" w:rsidR="00F354BC" w:rsidRDefault="00F354BC" w:rsidP="00F354BC">
      <w:pPr>
        <w:pStyle w:val="ListParagraph"/>
      </w:pPr>
    </w:p>
    <w:p w14:paraId="24979CBC" w14:textId="167C3426" w:rsidR="00F354BC" w:rsidRDefault="000326AB" w:rsidP="000326AB">
      <w:pPr>
        <w:pStyle w:val="Header"/>
        <w:numPr>
          <w:ilvl w:val="1"/>
          <w:numId w:val="2"/>
        </w:numPr>
        <w:tabs>
          <w:tab w:val="clear" w:pos="4153"/>
          <w:tab w:val="clear" w:pos="8306"/>
        </w:tabs>
        <w:ind w:hanging="720"/>
        <w:jc w:val="both"/>
      </w:pPr>
      <w:r>
        <w:t xml:space="preserve">The </w:t>
      </w:r>
      <w:r w:rsidR="00F354BC">
        <w:t>National government statistics report</w:t>
      </w:r>
      <w:r>
        <w:rPr>
          <w:rStyle w:val="FootnoteReference"/>
        </w:rPr>
        <w:footnoteReference w:id="1"/>
      </w:r>
      <w:r w:rsidR="00F354BC">
        <w:t>:</w:t>
      </w:r>
    </w:p>
    <w:p w14:paraId="5E058113" w14:textId="77777777" w:rsidR="000326AB" w:rsidRDefault="000326AB" w:rsidP="000326AB">
      <w:pPr>
        <w:pStyle w:val="Header"/>
        <w:tabs>
          <w:tab w:val="clear" w:pos="4153"/>
          <w:tab w:val="clear" w:pos="8306"/>
        </w:tabs>
        <w:ind w:left="720"/>
        <w:jc w:val="both"/>
      </w:pPr>
    </w:p>
    <w:p w14:paraId="6B354D02" w14:textId="77777777" w:rsidR="000326AB" w:rsidRPr="000326AB" w:rsidRDefault="00F354BC" w:rsidP="000326AB">
      <w:pPr>
        <w:pStyle w:val="ListParagraph"/>
        <w:numPr>
          <w:ilvl w:val="0"/>
          <w:numId w:val="13"/>
        </w:numPr>
        <w:shd w:val="clear" w:color="auto" w:fill="FFFFFF"/>
        <w:rPr>
          <w:rFonts w:ascii="Arial" w:hAnsi="Arial" w:cs="Arial"/>
          <w:color w:val="0B0C0C"/>
          <w:lang w:eastAsia="en-GB"/>
        </w:rPr>
      </w:pPr>
      <w:r w:rsidRPr="000326AB">
        <w:rPr>
          <w:rFonts w:ascii="Arial" w:hAnsi="Arial" w:cs="Arial"/>
          <w:color w:val="0B0C0C"/>
        </w:rPr>
        <w:t xml:space="preserve">3.3% of all pupils in schools in England have an Education, health and </w:t>
      </w:r>
      <w:r w:rsidR="00924EB9" w:rsidRPr="000326AB">
        <w:rPr>
          <w:rFonts w:ascii="Arial" w:hAnsi="Arial" w:cs="Arial"/>
          <w:color w:val="0B0C0C"/>
        </w:rPr>
        <w:t xml:space="preserve"> </w:t>
      </w:r>
    </w:p>
    <w:p w14:paraId="17DD38D8" w14:textId="2C9C2FE0" w:rsidR="000326AB" w:rsidRDefault="000326AB" w:rsidP="0015558B">
      <w:pPr>
        <w:shd w:val="clear" w:color="auto" w:fill="FFFFFF"/>
        <w:ind w:left="720" w:firstLine="10"/>
        <w:rPr>
          <w:rFonts w:ascii="Arial" w:hAnsi="Arial" w:cs="Arial"/>
          <w:color w:val="0B0C0C"/>
        </w:rPr>
      </w:pPr>
      <w:r w:rsidRPr="000326AB">
        <w:rPr>
          <w:rFonts w:ascii="Arial" w:hAnsi="Arial" w:cs="Arial"/>
          <w:color w:val="0B0C0C"/>
        </w:rPr>
        <w:t>Care</w:t>
      </w:r>
      <w:r w:rsidR="00F354BC" w:rsidRPr="000326AB">
        <w:rPr>
          <w:rFonts w:ascii="Arial" w:hAnsi="Arial" w:cs="Arial"/>
          <w:color w:val="0B0C0C"/>
        </w:rPr>
        <w:t xml:space="preserve"> (EHC) plan, a rise from 3.1% in 2019</w:t>
      </w:r>
      <w:r w:rsidR="00924EB9" w:rsidRPr="000326AB">
        <w:rPr>
          <w:rFonts w:ascii="Arial" w:hAnsi="Arial" w:cs="Arial"/>
          <w:color w:val="0B0C0C"/>
        </w:rPr>
        <w:t>;</w:t>
      </w:r>
    </w:p>
    <w:p w14:paraId="29362C03" w14:textId="10EB21B4" w:rsidR="00F354BC" w:rsidRDefault="00F354BC" w:rsidP="000326AB">
      <w:pPr>
        <w:pStyle w:val="ListParagraph"/>
        <w:numPr>
          <w:ilvl w:val="0"/>
          <w:numId w:val="13"/>
        </w:numPr>
        <w:shd w:val="clear" w:color="auto" w:fill="FFFFFF"/>
        <w:spacing w:before="240"/>
        <w:rPr>
          <w:rFonts w:ascii="Arial" w:hAnsi="Arial" w:cs="Arial"/>
          <w:color w:val="0B0C0C"/>
        </w:rPr>
      </w:pPr>
      <w:r w:rsidRPr="000326AB">
        <w:rPr>
          <w:rFonts w:ascii="Arial" w:hAnsi="Arial" w:cs="Arial"/>
          <w:color w:val="0B0C0C"/>
        </w:rPr>
        <w:t xml:space="preserve">A further 12.1% of all pupils have SEN support, without an </w:t>
      </w:r>
      <w:r w:rsidR="000326AB">
        <w:rPr>
          <w:rFonts w:ascii="Arial" w:hAnsi="Arial" w:cs="Arial"/>
          <w:color w:val="0B0C0C"/>
        </w:rPr>
        <w:t>EHC plan, up from 11.9% in 2019;</w:t>
      </w:r>
    </w:p>
    <w:p w14:paraId="281B914A" w14:textId="6C71251B" w:rsidR="000326AB" w:rsidRDefault="00F354BC" w:rsidP="000326AB">
      <w:pPr>
        <w:pStyle w:val="ListParagraph"/>
        <w:numPr>
          <w:ilvl w:val="0"/>
          <w:numId w:val="13"/>
        </w:numPr>
        <w:shd w:val="clear" w:color="auto" w:fill="FFFFFF"/>
        <w:spacing w:before="240"/>
        <w:rPr>
          <w:rFonts w:ascii="Arial" w:hAnsi="Arial" w:cs="Arial"/>
          <w:color w:val="0B0C0C"/>
        </w:rPr>
      </w:pPr>
      <w:r w:rsidRPr="000326AB">
        <w:rPr>
          <w:rFonts w:ascii="Arial" w:hAnsi="Arial" w:cs="Arial"/>
          <w:color w:val="0B0C0C"/>
        </w:rPr>
        <w:t xml:space="preserve">The most common type of need for pupils with an EHC plan is autistic spectrum disorders </w:t>
      </w:r>
      <w:r w:rsidR="00924EB9" w:rsidRPr="000326AB">
        <w:rPr>
          <w:rFonts w:ascii="Arial" w:hAnsi="Arial" w:cs="Arial"/>
          <w:color w:val="0B0C0C"/>
        </w:rPr>
        <w:t xml:space="preserve">(ASD) </w:t>
      </w:r>
      <w:r w:rsidRPr="000326AB">
        <w:rPr>
          <w:rFonts w:ascii="Arial" w:hAnsi="Arial" w:cs="Arial"/>
          <w:color w:val="0B0C0C"/>
        </w:rPr>
        <w:t>and for pupils with SEN support is speech, communication and language needs</w:t>
      </w:r>
      <w:r w:rsidR="000326AB">
        <w:rPr>
          <w:rFonts w:ascii="Arial" w:hAnsi="Arial" w:cs="Arial"/>
          <w:color w:val="0B0C0C"/>
        </w:rPr>
        <w:t>;</w:t>
      </w:r>
      <w:r w:rsidR="000326AB" w:rsidRPr="000326AB">
        <w:rPr>
          <w:rFonts w:ascii="Arial" w:hAnsi="Arial" w:cs="Arial"/>
          <w:color w:val="0B0C0C"/>
        </w:rPr>
        <w:t xml:space="preserve"> </w:t>
      </w:r>
    </w:p>
    <w:p w14:paraId="1E433766" w14:textId="0E7E518B" w:rsidR="00F354BC" w:rsidRDefault="000326AB" w:rsidP="000326AB">
      <w:pPr>
        <w:pStyle w:val="ListParagraph"/>
        <w:numPr>
          <w:ilvl w:val="0"/>
          <w:numId w:val="13"/>
        </w:numPr>
        <w:shd w:val="clear" w:color="auto" w:fill="FFFFFF"/>
        <w:spacing w:before="240"/>
        <w:rPr>
          <w:rFonts w:ascii="Arial" w:hAnsi="Arial" w:cs="Arial"/>
          <w:color w:val="0B0C0C"/>
        </w:rPr>
      </w:pPr>
      <w:r w:rsidRPr="00F354BC">
        <w:rPr>
          <w:rFonts w:ascii="Arial" w:hAnsi="Arial" w:cs="Arial"/>
          <w:color w:val="0B0C0C"/>
        </w:rPr>
        <w:t>SEN is more prevalent in boys than girl</w:t>
      </w:r>
      <w:r>
        <w:rPr>
          <w:rFonts w:ascii="Arial" w:hAnsi="Arial" w:cs="Arial"/>
          <w:color w:val="0B0C0C"/>
        </w:rPr>
        <w:t xml:space="preserve">s, with boys representing 73.1% </w:t>
      </w:r>
      <w:r w:rsidRPr="00F354BC">
        <w:rPr>
          <w:rFonts w:ascii="Arial" w:hAnsi="Arial" w:cs="Arial"/>
          <w:color w:val="0B0C0C"/>
        </w:rPr>
        <w:t>of all pupils with an EHC plan and 64.6% of pupils with SEN support</w:t>
      </w:r>
      <w:r>
        <w:rPr>
          <w:rFonts w:ascii="Arial" w:hAnsi="Arial" w:cs="Arial"/>
          <w:color w:val="0B0C0C"/>
        </w:rPr>
        <w:t>.</w:t>
      </w:r>
    </w:p>
    <w:p w14:paraId="197BCB38" w14:textId="77777777" w:rsidR="007D16FA" w:rsidRDefault="007D16FA" w:rsidP="00444101">
      <w:pPr>
        <w:pStyle w:val="ListParagraph"/>
        <w:shd w:val="clear" w:color="auto" w:fill="FFFFFF"/>
        <w:spacing w:before="240"/>
        <w:ind w:hanging="720"/>
        <w:rPr>
          <w:rFonts w:ascii="Arial" w:hAnsi="Arial" w:cs="Arial"/>
          <w:color w:val="0B0C0C"/>
        </w:rPr>
      </w:pPr>
    </w:p>
    <w:p w14:paraId="52127512" w14:textId="060C1B31" w:rsidR="00444101" w:rsidRDefault="00444101" w:rsidP="00444101">
      <w:pPr>
        <w:pStyle w:val="ListParagraph"/>
        <w:shd w:val="clear" w:color="auto" w:fill="FFFFFF"/>
        <w:spacing w:before="240"/>
        <w:ind w:hanging="720"/>
        <w:rPr>
          <w:rFonts w:ascii="Arial" w:hAnsi="Arial" w:cs="Arial"/>
          <w:color w:val="0B0C0C"/>
        </w:rPr>
      </w:pPr>
      <w:r>
        <w:rPr>
          <w:rFonts w:ascii="Arial" w:hAnsi="Arial" w:cs="Arial"/>
          <w:color w:val="0B0C0C"/>
        </w:rPr>
        <w:t>2.6</w:t>
      </w:r>
      <w:r>
        <w:rPr>
          <w:rFonts w:ascii="Arial" w:hAnsi="Arial" w:cs="Arial"/>
          <w:color w:val="0B0C0C"/>
        </w:rPr>
        <w:tab/>
        <w:t>The extract below reports Merton’s increases in EHCP’s as 9</w:t>
      </w:r>
      <w:r w:rsidRPr="00444101">
        <w:rPr>
          <w:rFonts w:ascii="Arial" w:hAnsi="Arial" w:cs="Arial"/>
          <w:color w:val="0B0C0C"/>
          <w:vertAlign w:val="superscript"/>
        </w:rPr>
        <w:t>th</w:t>
      </w:r>
      <w:r>
        <w:rPr>
          <w:rFonts w:ascii="Arial" w:hAnsi="Arial" w:cs="Arial"/>
          <w:color w:val="0B0C0C"/>
        </w:rPr>
        <w:t xml:space="preserve"> in the country (</w:t>
      </w:r>
      <w:r w:rsidR="00CF7E04">
        <w:rPr>
          <w:rFonts w:ascii="Arial" w:hAnsi="Arial" w:cs="Arial"/>
          <w:color w:val="0B0C0C"/>
        </w:rPr>
        <w:t xml:space="preserve">DfE </w:t>
      </w:r>
      <w:r>
        <w:rPr>
          <w:rFonts w:ascii="Arial" w:hAnsi="Arial" w:cs="Arial"/>
          <w:color w:val="0B0C0C"/>
        </w:rPr>
        <w:t>Statistics 2019)</w:t>
      </w:r>
      <w:r>
        <w:rPr>
          <w:rStyle w:val="FootnoteReference"/>
          <w:rFonts w:ascii="Arial" w:hAnsi="Arial" w:cs="Arial"/>
          <w:color w:val="0B0C0C"/>
        </w:rPr>
        <w:footnoteReference w:id="2"/>
      </w:r>
      <w:r>
        <w:rPr>
          <w:rFonts w:ascii="Arial" w:hAnsi="Arial" w:cs="Arial"/>
          <w:color w:val="0B0C0C"/>
        </w:rPr>
        <w:t xml:space="preserve"> with an average increase of 2.12%</w:t>
      </w:r>
      <w:r w:rsidR="00012FC7">
        <w:rPr>
          <w:rFonts w:ascii="Arial" w:hAnsi="Arial" w:cs="Arial"/>
          <w:color w:val="0B0C0C"/>
        </w:rPr>
        <w:t xml:space="preserve"> from previous year and Merton</w:t>
      </w:r>
      <w:r>
        <w:rPr>
          <w:rFonts w:ascii="Arial" w:hAnsi="Arial" w:cs="Arial"/>
          <w:color w:val="0B0C0C"/>
        </w:rPr>
        <w:t xml:space="preserve"> reporting 2.80%. </w:t>
      </w:r>
      <w:r w:rsidRPr="00444101">
        <w:rPr>
          <w:rFonts w:ascii="Arial" w:hAnsi="Arial" w:cs="Arial"/>
          <w:i/>
          <w:color w:val="0B0C0C"/>
          <w:sz w:val="20"/>
          <w:szCs w:val="20"/>
        </w:rPr>
        <w:t>(Torquay was the highest 3.85%)</w:t>
      </w:r>
      <w:r>
        <w:rPr>
          <w:rFonts w:ascii="Arial" w:hAnsi="Arial" w:cs="Arial"/>
          <w:color w:val="0B0C0C"/>
        </w:rPr>
        <w:t xml:space="preserve"> </w:t>
      </w:r>
    </w:p>
    <w:p w14:paraId="296D3530" w14:textId="77777777" w:rsidR="00444101" w:rsidRPr="000326AB" w:rsidRDefault="00444101" w:rsidP="000326AB">
      <w:pPr>
        <w:pStyle w:val="ListParagraph"/>
        <w:shd w:val="clear" w:color="auto" w:fill="FFFFFF"/>
        <w:spacing w:before="240"/>
        <w:rPr>
          <w:rFonts w:ascii="Arial" w:hAnsi="Arial" w:cs="Arial"/>
          <w:color w:val="0B0C0C"/>
        </w:rPr>
      </w:pPr>
    </w:p>
    <w:p w14:paraId="12337D15" w14:textId="071E8476" w:rsidR="000326AB" w:rsidRDefault="000326AB" w:rsidP="00444101">
      <w:pPr>
        <w:shd w:val="clear" w:color="auto" w:fill="FFFFFF"/>
        <w:spacing w:before="100" w:beforeAutospacing="1" w:after="75"/>
        <w:ind w:left="851"/>
      </w:pPr>
      <w:r w:rsidRPr="000326AB">
        <w:rPr>
          <w:noProof/>
          <w:lang w:eastAsia="en-GB"/>
        </w:rPr>
        <w:lastRenderedPageBreak/>
        <w:drawing>
          <wp:anchor distT="0" distB="0" distL="114300" distR="114300" simplePos="0" relativeHeight="251659264" behindDoc="0" locked="0" layoutInCell="1" allowOverlap="1" wp14:anchorId="50EB60BE" wp14:editId="246C1C96">
            <wp:simplePos x="0" y="0"/>
            <wp:positionH relativeFrom="column">
              <wp:posOffset>-900936</wp:posOffset>
            </wp:positionH>
            <wp:positionV relativeFrom="paragraph">
              <wp:posOffset>0</wp:posOffset>
            </wp:positionV>
            <wp:extent cx="7712581" cy="3408491"/>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4600" cy="3409383"/>
                    </a:xfrm>
                    <a:prstGeom prst="rect">
                      <a:avLst/>
                    </a:prstGeom>
                  </pic:spPr>
                </pic:pic>
              </a:graphicData>
            </a:graphic>
            <wp14:sizeRelH relativeFrom="margin">
              <wp14:pctWidth>0</wp14:pctWidth>
            </wp14:sizeRelH>
            <wp14:sizeRelV relativeFrom="margin">
              <wp14:pctHeight>0</wp14:pctHeight>
            </wp14:sizeRelV>
          </wp:anchor>
        </w:drawing>
      </w:r>
    </w:p>
    <w:p w14:paraId="6E591BA5" w14:textId="604137E6" w:rsidR="005C46BA" w:rsidRPr="000326AB" w:rsidRDefault="004B3B1A" w:rsidP="004E42C3">
      <w:pPr>
        <w:pStyle w:val="Header"/>
        <w:numPr>
          <w:ilvl w:val="1"/>
          <w:numId w:val="14"/>
        </w:numPr>
        <w:tabs>
          <w:tab w:val="clear" w:pos="4153"/>
          <w:tab w:val="clear" w:pos="8306"/>
        </w:tabs>
        <w:ind w:hanging="1080"/>
        <w:jc w:val="both"/>
        <w:rPr>
          <w:rFonts w:cs="Arial"/>
          <w:szCs w:val="24"/>
        </w:rPr>
      </w:pPr>
      <w:r>
        <w:t>T</w:t>
      </w:r>
      <w:r w:rsidR="002B2619" w:rsidRPr="002B2619">
        <w:t>able</w:t>
      </w:r>
      <w:r w:rsidR="00F354BC">
        <w:t xml:space="preserve"> 2</w:t>
      </w:r>
      <w:r w:rsidR="002B2619" w:rsidRPr="002B2619">
        <w:t xml:space="preserve"> below </w:t>
      </w:r>
      <w:r>
        <w:t>reports the four DSG blocks and split of retained budgets and delegated budgets and</w:t>
      </w:r>
      <w:r w:rsidR="002B2619" w:rsidRPr="002B2619">
        <w:t xml:space="preserve"> impact of the increase on the various types of provision over the past year</w:t>
      </w:r>
      <w:r w:rsidR="00F354BC">
        <w:t xml:space="preserve"> of </w:t>
      </w:r>
      <w:r w:rsidR="00DA121F" w:rsidRPr="000326AB">
        <w:rPr>
          <w:rFonts w:cs="Arial"/>
          <w:szCs w:val="24"/>
        </w:rPr>
        <w:t xml:space="preserve">DSG </w:t>
      </w:r>
      <w:r w:rsidR="00CC1850" w:rsidRPr="000326AB">
        <w:rPr>
          <w:rFonts w:cs="Arial"/>
          <w:szCs w:val="24"/>
        </w:rPr>
        <w:t xml:space="preserve">over and </w:t>
      </w:r>
      <w:r w:rsidR="0003678F" w:rsidRPr="000326AB">
        <w:rPr>
          <w:rFonts w:cs="Arial"/>
          <w:szCs w:val="24"/>
        </w:rPr>
        <w:t>(</w:t>
      </w:r>
      <w:r w:rsidR="009A1477" w:rsidRPr="000326AB">
        <w:rPr>
          <w:rFonts w:cs="Arial"/>
          <w:szCs w:val="24"/>
        </w:rPr>
        <w:t>un</w:t>
      </w:r>
      <w:r w:rsidR="005C46BA" w:rsidRPr="000326AB">
        <w:rPr>
          <w:rFonts w:cs="Arial"/>
          <w:szCs w:val="24"/>
        </w:rPr>
        <w:t>der</w:t>
      </w:r>
      <w:r w:rsidR="0003678F" w:rsidRPr="000326AB">
        <w:rPr>
          <w:rFonts w:cs="Arial"/>
          <w:szCs w:val="24"/>
        </w:rPr>
        <w:t xml:space="preserve">) </w:t>
      </w:r>
      <w:r w:rsidR="005C46BA" w:rsidRPr="000326AB">
        <w:rPr>
          <w:rFonts w:cs="Arial"/>
          <w:szCs w:val="24"/>
        </w:rPr>
        <w:t>spends i</w:t>
      </w:r>
      <w:r w:rsidR="001429C1" w:rsidRPr="000326AB">
        <w:rPr>
          <w:rFonts w:cs="Arial"/>
          <w:szCs w:val="24"/>
        </w:rPr>
        <w:t>dent</w:t>
      </w:r>
      <w:r w:rsidR="00420DD5" w:rsidRPr="000326AB">
        <w:rPr>
          <w:rFonts w:cs="Arial"/>
          <w:szCs w:val="24"/>
        </w:rPr>
        <w:t>ified to the end of March</w:t>
      </w:r>
      <w:r w:rsidR="00AF4704" w:rsidRPr="000326AB">
        <w:rPr>
          <w:rFonts w:cs="Arial"/>
          <w:szCs w:val="24"/>
        </w:rPr>
        <w:t xml:space="preserve"> 20</w:t>
      </w:r>
      <w:r w:rsidR="00F0466C" w:rsidRPr="000326AB">
        <w:rPr>
          <w:rFonts w:cs="Arial"/>
          <w:szCs w:val="24"/>
        </w:rPr>
        <w:t>21</w:t>
      </w:r>
      <w:r w:rsidR="00420DD5" w:rsidRPr="000326AB">
        <w:rPr>
          <w:rFonts w:cs="Arial"/>
          <w:szCs w:val="24"/>
        </w:rPr>
        <w:t>:</w:t>
      </w:r>
    </w:p>
    <w:p w14:paraId="6B867669" w14:textId="57CF9C03" w:rsidR="004B3B1A" w:rsidRPr="004B3B1A" w:rsidRDefault="004B3B1A" w:rsidP="004B3B1A">
      <w:pPr>
        <w:pStyle w:val="Header"/>
        <w:tabs>
          <w:tab w:val="clear" w:pos="4153"/>
          <w:tab w:val="clear" w:pos="8306"/>
          <w:tab w:val="center" w:pos="4535"/>
        </w:tabs>
        <w:rPr>
          <w:rFonts w:cs="Arial"/>
          <w:szCs w:val="24"/>
        </w:rPr>
      </w:pPr>
      <w:r w:rsidRPr="004B3B1A">
        <w:rPr>
          <w:rFonts w:cs="Arial"/>
          <w:szCs w:val="24"/>
        </w:rPr>
        <w:tab/>
      </w:r>
    </w:p>
    <w:p w14:paraId="41196E84" w14:textId="77777777" w:rsidR="004B3B1A" w:rsidRPr="004B3B1A" w:rsidRDefault="004B3B1A" w:rsidP="004B3B1A"/>
    <w:p w14:paraId="565107B6" w14:textId="782164C8" w:rsidR="004B3B1A" w:rsidRPr="004B3B1A" w:rsidRDefault="004B3B1A" w:rsidP="004B3B1A"/>
    <w:p w14:paraId="342440CC" w14:textId="3CE1BA1D" w:rsidR="004B3B1A" w:rsidRDefault="004B3B1A" w:rsidP="004B3B1A">
      <w:pPr>
        <w:rPr>
          <w:highlight w:val="yellow"/>
        </w:rPr>
      </w:pPr>
      <w:r w:rsidRPr="004B3B1A">
        <w:rPr>
          <w:noProof/>
          <w:lang w:eastAsia="en-GB"/>
        </w:rPr>
        <w:drawing>
          <wp:inline distT="0" distB="0" distL="0" distR="0" wp14:anchorId="6A5C6255" wp14:editId="715C1EAB">
            <wp:extent cx="5759450" cy="123129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31293"/>
                    </a:xfrm>
                    <a:prstGeom prst="rect">
                      <a:avLst/>
                    </a:prstGeom>
                    <a:noFill/>
                    <a:ln>
                      <a:noFill/>
                    </a:ln>
                  </pic:spPr>
                </pic:pic>
              </a:graphicData>
            </a:graphic>
          </wp:inline>
        </w:drawing>
      </w:r>
    </w:p>
    <w:p w14:paraId="26559A25" w14:textId="77777777" w:rsidR="004B3B1A" w:rsidRPr="004B3B1A" w:rsidRDefault="004B3B1A" w:rsidP="004B3B1A">
      <w:pPr>
        <w:rPr>
          <w:highlight w:val="yellow"/>
        </w:rPr>
      </w:pPr>
    </w:p>
    <w:p w14:paraId="584874E7" w14:textId="77777777" w:rsidR="004B3B1A" w:rsidRPr="004B3B1A" w:rsidRDefault="004B3B1A" w:rsidP="004B3B1A">
      <w:pPr>
        <w:rPr>
          <w:highlight w:val="yellow"/>
        </w:rPr>
      </w:pPr>
    </w:p>
    <w:p w14:paraId="64C3CEAD" w14:textId="77777777" w:rsidR="004B3B1A" w:rsidRPr="004B3B1A" w:rsidRDefault="004B3B1A" w:rsidP="004B3B1A">
      <w:pPr>
        <w:rPr>
          <w:highlight w:val="yellow"/>
        </w:rPr>
      </w:pPr>
    </w:p>
    <w:p w14:paraId="3AADB96F" w14:textId="09F4C424" w:rsidR="004B3B1A" w:rsidRDefault="004B3B1A" w:rsidP="004B3B1A">
      <w:pPr>
        <w:rPr>
          <w:highlight w:val="yellow"/>
        </w:rPr>
      </w:pPr>
    </w:p>
    <w:p w14:paraId="6238C9E7" w14:textId="2D563DB9" w:rsidR="004B3B1A" w:rsidRPr="000326AB" w:rsidRDefault="004B3B1A" w:rsidP="004E42C3">
      <w:pPr>
        <w:pStyle w:val="Header"/>
        <w:numPr>
          <w:ilvl w:val="1"/>
          <w:numId w:val="14"/>
        </w:numPr>
        <w:tabs>
          <w:tab w:val="clear" w:pos="4153"/>
          <w:tab w:val="clear" w:pos="8306"/>
        </w:tabs>
        <w:ind w:hanging="1080"/>
        <w:jc w:val="both"/>
        <w:rPr>
          <w:rFonts w:cs="Arial"/>
          <w:szCs w:val="24"/>
        </w:rPr>
      </w:pPr>
      <w:r>
        <w:t>T</w:t>
      </w:r>
      <w:r w:rsidRPr="002B2619">
        <w:t>able</w:t>
      </w:r>
      <w:r>
        <w:t xml:space="preserve"> 3 </w:t>
      </w:r>
      <w:r w:rsidRPr="002B2619">
        <w:t>below details the impact of the increase on the various types of provision over the past year</w:t>
      </w:r>
      <w:r>
        <w:t xml:space="preserve"> of </w:t>
      </w:r>
      <w:r w:rsidRPr="000326AB">
        <w:rPr>
          <w:rFonts w:cs="Arial"/>
          <w:szCs w:val="24"/>
        </w:rPr>
        <w:t>DSG over and (under) spends identified to the end of March 2021:</w:t>
      </w:r>
    </w:p>
    <w:p w14:paraId="0E15533A" w14:textId="77777777" w:rsidR="005C46BA" w:rsidRPr="004B3B1A" w:rsidRDefault="005C46BA" w:rsidP="004B3B1A">
      <w:pPr>
        <w:rPr>
          <w:highlight w:val="yellow"/>
        </w:rPr>
      </w:pPr>
    </w:p>
    <w:p w14:paraId="20798286" w14:textId="783BAF1C" w:rsidR="005C46BA" w:rsidRPr="00420DD5" w:rsidRDefault="004E42C3" w:rsidP="005C46BA">
      <w:pPr>
        <w:pStyle w:val="Header"/>
        <w:tabs>
          <w:tab w:val="clear" w:pos="4153"/>
          <w:tab w:val="clear" w:pos="8306"/>
        </w:tabs>
        <w:rPr>
          <w:highlight w:val="yellow"/>
        </w:rPr>
      </w:pPr>
      <w:r w:rsidRPr="004E42C3">
        <w:rPr>
          <w:noProof/>
          <w:lang w:eastAsia="en-GB"/>
        </w:rPr>
        <w:lastRenderedPageBreak/>
        <w:drawing>
          <wp:inline distT="0" distB="0" distL="0" distR="0" wp14:anchorId="10F34E45" wp14:editId="4DE68E02">
            <wp:extent cx="5759450" cy="6161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161426"/>
                    </a:xfrm>
                    <a:prstGeom prst="rect">
                      <a:avLst/>
                    </a:prstGeom>
                    <a:noFill/>
                    <a:ln>
                      <a:noFill/>
                    </a:ln>
                  </pic:spPr>
                </pic:pic>
              </a:graphicData>
            </a:graphic>
          </wp:inline>
        </w:drawing>
      </w:r>
    </w:p>
    <w:p w14:paraId="58E9BFF1" w14:textId="77777777" w:rsidR="00EE0770" w:rsidRPr="00420DD5" w:rsidRDefault="00EE0770" w:rsidP="00EE0770">
      <w:pPr>
        <w:pStyle w:val="ListParagraph"/>
        <w:rPr>
          <w:highlight w:val="yellow"/>
        </w:rPr>
      </w:pPr>
    </w:p>
    <w:p w14:paraId="1A7556CC" w14:textId="01579EBB" w:rsidR="00EE0770" w:rsidRPr="001E226F" w:rsidRDefault="00592E9A" w:rsidP="004E42C3">
      <w:pPr>
        <w:pStyle w:val="Header"/>
        <w:numPr>
          <w:ilvl w:val="1"/>
          <w:numId w:val="14"/>
        </w:numPr>
        <w:tabs>
          <w:tab w:val="clear" w:pos="4153"/>
          <w:tab w:val="clear" w:pos="8306"/>
        </w:tabs>
        <w:ind w:hanging="720"/>
        <w:jc w:val="both"/>
      </w:pPr>
      <w:r w:rsidRPr="001E226F">
        <w:t>School</w:t>
      </w:r>
      <w:r w:rsidR="004B01CC" w:rsidRPr="001E226F">
        <w:t xml:space="preserve"> funding </w:t>
      </w:r>
      <w:r w:rsidRPr="001E226F">
        <w:t xml:space="preserve">is updated </w:t>
      </w:r>
      <w:r w:rsidR="004B01CC" w:rsidRPr="001E226F">
        <w:t xml:space="preserve">for business rate adjustments </w:t>
      </w:r>
      <w:r w:rsidR="0033186E" w:rsidRPr="001E226F">
        <w:t>undertaken</w:t>
      </w:r>
      <w:r w:rsidR="004B01CC" w:rsidRPr="001E226F">
        <w:t xml:space="preserve"> by the valuation office during the year</w:t>
      </w:r>
      <w:r w:rsidR="0023442C" w:rsidRPr="001E226F">
        <w:t>.</w:t>
      </w:r>
      <w:r w:rsidR="004B01CC" w:rsidRPr="001E226F">
        <w:t xml:space="preserve"> </w:t>
      </w:r>
      <w:r w:rsidRPr="001E226F">
        <w:t>Additional funding is provided for increases and deductions made for reductions</w:t>
      </w:r>
      <w:r w:rsidR="004B01CC" w:rsidRPr="001E226F">
        <w:t>.</w:t>
      </w:r>
      <w:r w:rsidRPr="001E226F">
        <w:t xml:space="preserve"> This year </w:t>
      </w:r>
      <w:r w:rsidR="009572E5" w:rsidRPr="001E226F">
        <w:t>we expect</w:t>
      </w:r>
      <w:r w:rsidR="001E226F" w:rsidRPr="001E226F">
        <w:t xml:space="preserve">ed </w:t>
      </w:r>
      <w:r w:rsidR="009572E5" w:rsidRPr="001E226F">
        <w:t>a net reduction resulting in an under</w:t>
      </w:r>
      <w:r w:rsidR="001E226F" w:rsidRPr="001E226F">
        <w:t xml:space="preserve"> </w:t>
      </w:r>
      <w:r w:rsidR="00D74F47">
        <w:t>spend of £</w:t>
      </w:r>
      <w:r w:rsidR="009572E5" w:rsidRPr="001E226F">
        <w:t>6</w:t>
      </w:r>
      <w:r w:rsidR="006D7E4A" w:rsidRPr="001E226F">
        <w:t>k (Note: NNDR is funded on a one year lagged basis through the DSG</w:t>
      </w:r>
      <w:r w:rsidR="00950F3B">
        <w:t xml:space="preserve"> schools’ formula</w:t>
      </w:r>
      <w:r w:rsidR="006D7E4A" w:rsidRPr="001E226F">
        <w:t>)</w:t>
      </w:r>
      <w:r w:rsidR="00D74F47">
        <w:t>.</w:t>
      </w:r>
    </w:p>
    <w:p w14:paraId="228F8636" w14:textId="77777777" w:rsidR="00592E9A" w:rsidRPr="00420DD5" w:rsidRDefault="00592E9A" w:rsidP="00CA1E66">
      <w:pPr>
        <w:pStyle w:val="Header"/>
        <w:tabs>
          <w:tab w:val="clear" w:pos="4153"/>
          <w:tab w:val="clear" w:pos="8306"/>
        </w:tabs>
        <w:ind w:left="720"/>
        <w:jc w:val="both"/>
        <w:rPr>
          <w:highlight w:val="yellow"/>
        </w:rPr>
      </w:pPr>
    </w:p>
    <w:p w14:paraId="771C7EA2" w14:textId="37CA65A6" w:rsidR="00592E9A" w:rsidRPr="003E2D2B" w:rsidRDefault="00592E9A" w:rsidP="004E42C3">
      <w:pPr>
        <w:pStyle w:val="Header"/>
        <w:numPr>
          <w:ilvl w:val="1"/>
          <w:numId w:val="14"/>
        </w:numPr>
        <w:tabs>
          <w:tab w:val="clear" w:pos="4153"/>
          <w:tab w:val="clear" w:pos="8306"/>
        </w:tabs>
        <w:ind w:hanging="720"/>
        <w:jc w:val="both"/>
      </w:pPr>
      <w:r w:rsidRPr="003E2D2B">
        <w:t xml:space="preserve">Bulge class funding </w:t>
      </w:r>
      <w:r w:rsidR="00604C6B" w:rsidRPr="003E2D2B">
        <w:t xml:space="preserve">was </w:t>
      </w:r>
      <w:r w:rsidRPr="003E2D2B">
        <w:t>set aside for possible secondary</w:t>
      </w:r>
      <w:r w:rsidR="00D34CB4" w:rsidRPr="003E2D2B">
        <w:t>/primary</w:t>
      </w:r>
      <w:r w:rsidRPr="003E2D2B">
        <w:t xml:space="preserve"> expansion</w:t>
      </w:r>
      <w:r w:rsidR="00D34CB4" w:rsidRPr="003E2D2B">
        <w:t>s</w:t>
      </w:r>
      <w:r w:rsidRPr="003E2D2B">
        <w:t xml:space="preserve">. We were able to </w:t>
      </w:r>
      <w:r w:rsidR="00FE39E5" w:rsidRPr="003E2D2B">
        <w:t>place all child</w:t>
      </w:r>
      <w:r w:rsidR="00D74F47">
        <w:t>ren in 2020</w:t>
      </w:r>
      <w:r w:rsidRPr="003E2D2B">
        <w:t>/</w:t>
      </w:r>
      <w:r w:rsidR="00D74F47">
        <w:t>21</w:t>
      </w:r>
      <w:r w:rsidRPr="003E2D2B">
        <w:t xml:space="preserve"> in existing schools or planned bulge classes which r</w:t>
      </w:r>
      <w:r w:rsidR="00FE39E5" w:rsidRPr="003E2D2B">
        <w:t>esulted in a</w:t>
      </w:r>
      <w:r w:rsidR="00FE51E2" w:rsidRPr="003E2D2B">
        <w:t>n</w:t>
      </w:r>
      <w:r w:rsidR="00FE39E5" w:rsidRPr="003E2D2B">
        <w:t xml:space="preserve"> under</w:t>
      </w:r>
      <w:r w:rsidR="00FE51E2" w:rsidRPr="003E2D2B">
        <w:t xml:space="preserve"> </w:t>
      </w:r>
      <w:r w:rsidR="00FE39E5" w:rsidRPr="003E2D2B">
        <w:t>spend of</w:t>
      </w:r>
      <w:r w:rsidR="00D74F47">
        <w:t xml:space="preserve"> £89k</w:t>
      </w:r>
      <w:r w:rsidRPr="003E2D2B">
        <w:t>.</w:t>
      </w:r>
    </w:p>
    <w:p w14:paraId="1B3315D3" w14:textId="77777777" w:rsidR="004B01CC" w:rsidRPr="003E2D2B" w:rsidRDefault="004B01CC" w:rsidP="00CA1E66">
      <w:pPr>
        <w:pStyle w:val="Header"/>
        <w:tabs>
          <w:tab w:val="clear" w:pos="4153"/>
          <w:tab w:val="clear" w:pos="8306"/>
        </w:tabs>
        <w:ind w:left="720"/>
        <w:jc w:val="both"/>
      </w:pPr>
    </w:p>
    <w:p w14:paraId="11D8F4A1" w14:textId="13620BB7" w:rsidR="004B01CC" w:rsidRPr="00924EB9" w:rsidRDefault="004F465B" w:rsidP="004E42C3">
      <w:pPr>
        <w:pStyle w:val="Header"/>
        <w:numPr>
          <w:ilvl w:val="1"/>
          <w:numId w:val="14"/>
        </w:numPr>
        <w:tabs>
          <w:tab w:val="clear" w:pos="4153"/>
          <w:tab w:val="clear" w:pos="8306"/>
        </w:tabs>
        <w:ind w:hanging="720"/>
        <w:jc w:val="both"/>
      </w:pPr>
      <w:r w:rsidRPr="00924EB9">
        <w:t xml:space="preserve">SEN </w:t>
      </w:r>
      <w:r w:rsidR="008E7D17" w:rsidRPr="00924EB9">
        <w:t>EHCP</w:t>
      </w:r>
      <w:r w:rsidRPr="00924EB9">
        <w:t xml:space="preserve"> payments to Merton maintained schools </w:t>
      </w:r>
      <w:r w:rsidR="00BB4E1A" w:rsidRPr="00924EB9">
        <w:t xml:space="preserve">was </w:t>
      </w:r>
      <w:r w:rsidRPr="00924EB9">
        <w:t>over</w:t>
      </w:r>
      <w:r w:rsidR="00BB4E1A" w:rsidRPr="00924EB9">
        <w:t xml:space="preserve"> </w:t>
      </w:r>
      <w:r w:rsidRPr="00924EB9">
        <w:t>spen</w:t>
      </w:r>
      <w:r w:rsidR="00BB4E1A" w:rsidRPr="00924EB9">
        <w:t>t</w:t>
      </w:r>
      <w:r w:rsidRPr="00924EB9">
        <w:t xml:space="preserve"> by £</w:t>
      </w:r>
      <w:r w:rsidR="00D74F47" w:rsidRPr="00924EB9">
        <w:t>2.496</w:t>
      </w:r>
      <w:r w:rsidR="008C7253" w:rsidRPr="00924EB9">
        <w:t>m</w:t>
      </w:r>
      <w:r w:rsidR="00BB4E1A" w:rsidRPr="00924EB9">
        <w:t xml:space="preserve">. </w:t>
      </w:r>
      <w:r w:rsidR="00924EB9">
        <w:t>At the end of January 21</w:t>
      </w:r>
      <w:r w:rsidR="00BB4E1A" w:rsidRPr="00924EB9">
        <w:t xml:space="preserve"> the number of approved EHCP</w:t>
      </w:r>
      <w:r w:rsidR="00F7235E" w:rsidRPr="00924EB9">
        <w:t>s</w:t>
      </w:r>
      <w:r w:rsidR="00924EB9" w:rsidRPr="00924EB9">
        <w:t xml:space="preserve"> was at 2</w:t>
      </w:r>
      <w:r w:rsidR="00122298">
        <w:t>,</w:t>
      </w:r>
      <w:r w:rsidR="00924EB9" w:rsidRPr="00924EB9">
        <w:t>252</w:t>
      </w:r>
      <w:r w:rsidR="00BB4E1A" w:rsidRPr="00924EB9">
        <w:t>, this is expected to increase</w:t>
      </w:r>
      <w:r w:rsidR="00F7235E" w:rsidRPr="00924EB9">
        <w:t xml:space="preserve"> further in </w:t>
      </w:r>
      <w:r w:rsidR="00183D42" w:rsidRPr="00924EB9">
        <w:t>2021/22</w:t>
      </w:r>
      <w:r w:rsidR="00BB4E1A" w:rsidRPr="00924EB9">
        <w:t xml:space="preserve">. </w:t>
      </w:r>
    </w:p>
    <w:p w14:paraId="4B2D8813" w14:textId="77777777" w:rsidR="004B01CC" w:rsidRPr="00924EB9" w:rsidRDefault="004B01CC" w:rsidP="00CA1E66">
      <w:pPr>
        <w:pStyle w:val="Header"/>
        <w:tabs>
          <w:tab w:val="clear" w:pos="4153"/>
          <w:tab w:val="clear" w:pos="8306"/>
        </w:tabs>
        <w:ind w:left="720"/>
        <w:jc w:val="both"/>
      </w:pPr>
    </w:p>
    <w:p w14:paraId="6852D179" w14:textId="318EBF90" w:rsidR="00D74F47" w:rsidRDefault="00D74F47" w:rsidP="004E42C3">
      <w:pPr>
        <w:pStyle w:val="Header"/>
        <w:numPr>
          <w:ilvl w:val="1"/>
          <w:numId w:val="14"/>
        </w:numPr>
        <w:tabs>
          <w:tab w:val="clear" w:pos="4153"/>
          <w:tab w:val="clear" w:pos="8306"/>
        </w:tabs>
        <w:ind w:hanging="720"/>
        <w:jc w:val="both"/>
      </w:pPr>
      <w:r>
        <w:t xml:space="preserve">The SMART Centre </w:t>
      </w:r>
      <w:r w:rsidR="009B14E1">
        <w:t xml:space="preserve">funding </w:t>
      </w:r>
      <w:r>
        <w:t>allocated was £</w:t>
      </w:r>
      <w:r w:rsidR="00E920AF">
        <w:t xml:space="preserve">29k over HNB budget set </w:t>
      </w:r>
      <w:r>
        <w:t>and this was due to demand.</w:t>
      </w:r>
    </w:p>
    <w:p w14:paraId="0E6627C7" w14:textId="77777777" w:rsidR="00D74F47" w:rsidRDefault="00D74F47" w:rsidP="00D74F47">
      <w:pPr>
        <w:pStyle w:val="ListParagraph"/>
      </w:pPr>
    </w:p>
    <w:p w14:paraId="694D6DF7" w14:textId="4F8CB0A5" w:rsidR="00D74F47" w:rsidRDefault="00D74F47" w:rsidP="004E42C3">
      <w:pPr>
        <w:pStyle w:val="Header"/>
        <w:numPr>
          <w:ilvl w:val="1"/>
          <w:numId w:val="14"/>
        </w:numPr>
        <w:tabs>
          <w:tab w:val="clear" w:pos="4153"/>
          <w:tab w:val="clear" w:pos="8306"/>
        </w:tabs>
        <w:ind w:hanging="720"/>
        <w:jc w:val="both"/>
      </w:pPr>
      <w:r>
        <w:lastRenderedPageBreak/>
        <w:t>Special school allocations was over budget of £303k due to SEN children being placed within the settings and top up payments in support.</w:t>
      </w:r>
      <w:r w:rsidR="00122298">
        <w:t xml:space="preserve"> Place funding for Special school places is lagged</w:t>
      </w:r>
      <w:r w:rsidR="00E920AF">
        <w:t xml:space="preserve"> funded</w:t>
      </w:r>
      <w:r w:rsidR="00122298">
        <w:t xml:space="preserve"> </w:t>
      </w:r>
      <w:r w:rsidR="00E920AF">
        <w:t>from the DfE</w:t>
      </w:r>
      <w:r w:rsidR="00122298">
        <w:t xml:space="preserve"> </w:t>
      </w:r>
      <w:r w:rsidR="00E920AF">
        <w:t xml:space="preserve">via the </w:t>
      </w:r>
      <w:r w:rsidR="00122298">
        <w:t>HN block.</w:t>
      </w:r>
    </w:p>
    <w:p w14:paraId="77D2D391" w14:textId="77777777" w:rsidR="00D74F47" w:rsidRDefault="00D74F47" w:rsidP="00D74F47">
      <w:pPr>
        <w:pStyle w:val="ListParagraph"/>
      </w:pPr>
    </w:p>
    <w:p w14:paraId="2CCA1499" w14:textId="2C4C7BC1" w:rsidR="00B43AD2" w:rsidRPr="00C25F0C" w:rsidRDefault="004F465B" w:rsidP="004E42C3">
      <w:pPr>
        <w:pStyle w:val="Header"/>
        <w:numPr>
          <w:ilvl w:val="1"/>
          <w:numId w:val="14"/>
        </w:numPr>
        <w:tabs>
          <w:tab w:val="clear" w:pos="4153"/>
          <w:tab w:val="clear" w:pos="8306"/>
        </w:tabs>
        <w:ind w:hanging="720"/>
        <w:jc w:val="both"/>
      </w:pPr>
      <w:r w:rsidRPr="00C25F0C">
        <w:t xml:space="preserve">The ARP budget this year </w:t>
      </w:r>
      <w:r w:rsidR="00C25F0C" w:rsidRPr="00C25F0C">
        <w:t xml:space="preserve">was </w:t>
      </w:r>
      <w:r w:rsidR="00F523E8" w:rsidRPr="00C25F0C">
        <w:t>under</w:t>
      </w:r>
      <w:r w:rsidR="00C25F0C" w:rsidRPr="00C25F0C">
        <w:t xml:space="preserve"> </w:t>
      </w:r>
      <w:r w:rsidR="00F523E8" w:rsidRPr="00C25F0C">
        <w:t>s</w:t>
      </w:r>
      <w:r w:rsidR="00C25F0C" w:rsidRPr="00C25F0C">
        <w:t>pent</w:t>
      </w:r>
      <w:r w:rsidR="00F523E8" w:rsidRPr="00C25F0C">
        <w:t xml:space="preserve"> by £</w:t>
      </w:r>
      <w:r w:rsidR="00D74F47">
        <w:t>88</w:t>
      </w:r>
      <w:r w:rsidRPr="00C25F0C">
        <w:t>k</w:t>
      </w:r>
      <w:r w:rsidR="004B01CC" w:rsidRPr="00C25F0C">
        <w:t>.</w:t>
      </w:r>
      <w:r w:rsidRPr="00C25F0C">
        <w:t xml:space="preserve"> This </w:t>
      </w:r>
      <w:r w:rsidR="006322B8" w:rsidRPr="00C25F0C">
        <w:t xml:space="preserve">budget </w:t>
      </w:r>
      <w:r w:rsidR="00D105BA" w:rsidRPr="00C25F0C">
        <w:t xml:space="preserve">was kept at the same level </w:t>
      </w:r>
      <w:r w:rsidR="0078798C" w:rsidRPr="00C25F0C">
        <w:t>as 2</w:t>
      </w:r>
      <w:r w:rsidR="00D74F47">
        <w:t>019</w:t>
      </w:r>
      <w:r w:rsidR="0078798C" w:rsidRPr="00C25F0C">
        <w:t>/</w:t>
      </w:r>
      <w:r w:rsidR="00D74F47">
        <w:t>20</w:t>
      </w:r>
      <w:r w:rsidR="0078798C" w:rsidRPr="00C25F0C">
        <w:t xml:space="preserve"> and there is </w:t>
      </w:r>
      <w:r w:rsidR="00C25F0C">
        <w:t xml:space="preserve">likely to be </w:t>
      </w:r>
      <w:r w:rsidR="0078798C" w:rsidRPr="00C25F0C">
        <w:t xml:space="preserve">a prospect of an </w:t>
      </w:r>
      <w:r w:rsidR="00592E9A" w:rsidRPr="00C25F0C">
        <w:t xml:space="preserve">ARP </w:t>
      </w:r>
      <w:r w:rsidR="00D74F47">
        <w:t>expanding in 2021</w:t>
      </w:r>
      <w:r w:rsidR="0078798C" w:rsidRPr="00C25F0C">
        <w:t>/2</w:t>
      </w:r>
      <w:r w:rsidR="00D74F47">
        <w:t>2</w:t>
      </w:r>
      <w:r w:rsidR="00592E9A" w:rsidRPr="00C25F0C">
        <w:t xml:space="preserve"> which </w:t>
      </w:r>
      <w:r w:rsidR="0078798C" w:rsidRPr="00C25F0C">
        <w:t>may</w:t>
      </w:r>
      <w:r w:rsidR="006322B8" w:rsidRPr="00C25F0C">
        <w:t xml:space="preserve"> require</w:t>
      </w:r>
      <w:r w:rsidR="00592E9A" w:rsidRPr="00C25F0C">
        <w:t xml:space="preserve"> </w:t>
      </w:r>
      <w:r w:rsidR="0078798C" w:rsidRPr="00C25F0C">
        <w:t xml:space="preserve">for </w:t>
      </w:r>
      <w:r w:rsidR="00592E9A" w:rsidRPr="00C25F0C">
        <w:t>this budget to be increased.</w:t>
      </w:r>
    </w:p>
    <w:p w14:paraId="5F85074C" w14:textId="77777777" w:rsidR="002D7326" w:rsidRPr="00C25F0C" w:rsidRDefault="002D7326" w:rsidP="00CA1E66">
      <w:pPr>
        <w:pStyle w:val="ListParagraph"/>
        <w:jc w:val="both"/>
      </w:pPr>
    </w:p>
    <w:p w14:paraId="0D75E706" w14:textId="451D5DB1" w:rsidR="002D7326" w:rsidRDefault="003A6389" w:rsidP="004E42C3">
      <w:pPr>
        <w:pStyle w:val="Header"/>
        <w:numPr>
          <w:ilvl w:val="1"/>
          <w:numId w:val="14"/>
        </w:numPr>
        <w:tabs>
          <w:tab w:val="clear" w:pos="4153"/>
          <w:tab w:val="clear" w:pos="8306"/>
        </w:tabs>
        <w:ind w:hanging="720"/>
        <w:jc w:val="both"/>
      </w:pPr>
      <w:r>
        <w:t>Early Years formula is reporting an under spend of £1.392m primarily due to COVID-19 and census changes in data collections by the DfE</w:t>
      </w:r>
      <w:r w:rsidR="002D7326" w:rsidRPr="00C25F0C">
        <w:t>.</w:t>
      </w:r>
      <w:r>
        <w:t xml:space="preserve">  We are waiting for a possible clawback of funding with regards to expenditure not exceeding 85% of </w:t>
      </w:r>
      <w:r w:rsidR="00122298">
        <w:t>funding on the 2 year old grant, but await further guidance from the DfE with regards to this change in light of COVID-19.</w:t>
      </w:r>
    </w:p>
    <w:p w14:paraId="29BDE16C" w14:textId="77777777" w:rsidR="003A6389" w:rsidRDefault="003A6389" w:rsidP="003A6389">
      <w:pPr>
        <w:pStyle w:val="ListParagraph"/>
      </w:pPr>
    </w:p>
    <w:p w14:paraId="6027696F" w14:textId="7E2AECF5" w:rsidR="003A6389" w:rsidRPr="00C25F0C" w:rsidRDefault="003A6389" w:rsidP="004E42C3">
      <w:pPr>
        <w:pStyle w:val="Header"/>
        <w:numPr>
          <w:ilvl w:val="1"/>
          <w:numId w:val="14"/>
        </w:numPr>
        <w:tabs>
          <w:tab w:val="clear" w:pos="4153"/>
          <w:tab w:val="clear" w:pos="8306"/>
        </w:tabs>
        <w:ind w:hanging="720"/>
        <w:jc w:val="both"/>
      </w:pPr>
      <w:r>
        <w:t xml:space="preserve">Within the school block budget setting an allocation </w:t>
      </w:r>
      <w:r w:rsidR="004028B7">
        <w:t xml:space="preserve">of £576k </w:t>
      </w:r>
      <w:r>
        <w:t xml:space="preserve">was earmarked for </w:t>
      </w:r>
      <w:r w:rsidR="004028B7">
        <w:t xml:space="preserve">any formula </w:t>
      </w:r>
      <w:r>
        <w:t xml:space="preserve">changes </w:t>
      </w:r>
      <w:r w:rsidR="004028B7">
        <w:t xml:space="preserve">made </w:t>
      </w:r>
      <w:r>
        <w:t>by the Education Skills and Funding Agency (ESFA)</w:t>
      </w:r>
      <w:r w:rsidR="004028B7">
        <w:t xml:space="preserve"> with the formula </w:t>
      </w:r>
      <w:r>
        <w:t xml:space="preserve">validation checks that are undertaken January </w:t>
      </w:r>
      <w:r w:rsidR="004028B7">
        <w:t>before schools receive their individual budget allocation notifications.  This was not required to support any formula c</w:t>
      </w:r>
      <w:r w:rsidR="00122298">
        <w:t>hanges via the Authority Proforma Tool (APT).</w:t>
      </w:r>
    </w:p>
    <w:p w14:paraId="7F2C80AE" w14:textId="77777777" w:rsidR="00764FE9" w:rsidRPr="00420DD5" w:rsidRDefault="00764FE9" w:rsidP="00CA1E66">
      <w:pPr>
        <w:jc w:val="both"/>
        <w:rPr>
          <w:highlight w:val="yellow"/>
        </w:rPr>
      </w:pPr>
    </w:p>
    <w:p w14:paraId="234E9AB3" w14:textId="445C5759" w:rsidR="00AA6869" w:rsidRDefault="000140C2" w:rsidP="004E42C3">
      <w:pPr>
        <w:pStyle w:val="Header"/>
        <w:numPr>
          <w:ilvl w:val="1"/>
          <w:numId w:val="14"/>
        </w:numPr>
        <w:tabs>
          <w:tab w:val="clear" w:pos="4153"/>
          <w:tab w:val="clear" w:pos="8306"/>
        </w:tabs>
        <w:ind w:hanging="720"/>
        <w:jc w:val="both"/>
      </w:pPr>
      <w:r w:rsidRPr="00C25F0C">
        <w:rPr>
          <w:szCs w:val="24"/>
        </w:rPr>
        <w:t xml:space="preserve">The </w:t>
      </w:r>
      <w:r w:rsidR="00374717" w:rsidRPr="00C25F0C">
        <w:rPr>
          <w:szCs w:val="24"/>
        </w:rPr>
        <w:t>independent</w:t>
      </w:r>
      <w:r w:rsidRPr="00C25F0C">
        <w:rPr>
          <w:szCs w:val="24"/>
        </w:rPr>
        <w:t xml:space="preserve"> day s</w:t>
      </w:r>
      <w:r w:rsidR="00C25F0C" w:rsidRPr="00C25F0C">
        <w:rPr>
          <w:szCs w:val="24"/>
        </w:rPr>
        <w:t xml:space="preserve">chool provision has </w:t>
      </w:r>
      <w:r w:rsidRPr="00C25F0C">
        <w:rPr>
          <w:szCs w:val="24"/>
        </w:rPr>
        <w:t>over</w:t>
      </w:r>
      <w:r w:rsidR="00C25F0C" w:rsidRPr="00C25F0C">
        <w:rPr>
          <w:szCs w:val="24"/>
        </w:rPr>
        <w:t xml:space="preserve"> spent</w:t>
      </w:r>
      <w:r w:rsidRPr="00C25F0C">
        <w:rPr>
          <w:szCs w:val="24"/>
        </w:rPr>
        <w:t xml:space="preserve"> by £</w:t>
      </w:r>
      <w:r w:rsidR="004028B7">
        <w:rPr>
          <w:szCs w:val="24"/>
        </w:rPr>
        <w:t>9</w:t>
      </w:r>
      <w:r w:rsidR="00653F37" w:rsidRPr="00C25F0C">
        <w:rPr>
          <w:szCs w:val="24"/>
        </w:rPr>
        <w:t>.</w:t>
      </w:r>
      <w:r w:rsidR="004028B7">
        <w:rPr>
          <w:szCs w:val="24"/>
        </w:rPr>
        <w:t>611</w:t>
      </w:r>
      <w:r w:rsidR="006F4A1C" w:rsidRPr="00C25F0C">
        <w:rPr>
          <w:szCs w:val="24"/>
        </w:rPr>
        <w:t>m</w:t>
      </w:r>
      <w:r w:rsidRPr="00C25F0C">
        <w:rPr>
          <w:szCs w:val="24"/>
        </w:rPr>
        <w:t xml:space="preserve">. </w:t>
      </w:r>
      <w:r w:rsidRPr="00C25F0C">
        <w:t xml:space="preserve">The number of students placed in this type of provision has </w:t>
      </w:r>
      <w:r w:rsidR="00580DE7" w:rsidRPr="00C25F0C">
        <w:t xml:space="preserve">steadily </w:t>
      </w:r>
      <w:r w:rsidRPr="00C25F0C">
        <w:t>increased over the past few years</w:t>
      </w:r>
      <w:r w:rsidR="009B14E1">
        <w:t xml:space="preserve"> due to demand for specialist SEN provision.</w:t>
      </w:r>
    </w:p>
    <w:p w14:paraId="2D653283" w14:textId="77777777" w:rsidR="001033F9" w:rsidRPr="00CA1E66" w:rsidRDefault="001033F9" w:rsidP="00CA1E66">
      <w:pPr>
        <w:pStyle w:val="Header"/>
        <w:tabs>
          <w:tab w:val="clear" w:pos="4153"/>
          <w:tab w:val="clear" w:pos="8306"/>
        </w:tabs>
        <w:ind w:left="720"/>
        <w:jc w:val="both"/>
      </w:pPr>
    </w:p>
    <w:p w14:paraId="1E4F8417" w14:textId="705971E0" w:rsidR="00A90509" w:rsidRPr="00CA1E66" w:rsidRDefault="00582341" w:rsidP="004E42C3">
      <w:pPr>
        <w:pStyle w:val="Header"/>
        <w:numPr>
          <w:ilvl w:val="1"/>
          <w:numId w:val="14"/>
        </w:numPr>
        <w:tabs>
          <w:tab w:val="clear" w:pos="4153"/>
          <w:tab w:val="clear" w:pos="8306"/>
        </w:tabs>
        <w:ind w:hanging="720"/>
        <w:jc w:val="both"/>
      </w:pPr>
      <w:r w:rsidRPr="00CA1E66">
        <w:t xml:space="preserve">Out of borough maintained school and academy placements </w:t>
      </w:r>
      <w:r w:rsidR="0095398C" w:rsidRPr="00CA1E66">
        <w:t xml:space="preserve">have </w:t>
      </w:r>
      <w:r w:rsidRPr="00CA1E66">
        <w:t>over</w:t>
      </w:r>
      <w:r w:rsidR="0095398C" w:rsidRPr="00CA1E66">
        <w:t xml:space="preserve"> spent</w:t>
      </w:r>
      <w:r w:rsidRPr="00CA1E66">
        <w:t xml:space="preserve"> by £</w:t>
      </w:r>
      <w:r w:rsidR="009B14E1">
        <w:t>2.</w:t>
      </w:r>
      <w:r w:rsidR="00F523E8" w:rsidRPr="00CA1E66">
        <w:t>2</w:t>
      </w:r>
      <w:r w:rsidR="009B14E1">
        <w:t>60</w:t>
      </w:r>
      <w:r w:rsidR="006A339E" w:rsidRPr="00CA1E66">
        <w:t>m</w:t>
      </w:r>
      <w:r w:rsidRPr="00CA1E66">
        <w:t xml:space="preserve">. The number of places funded </w:t>
      </w:r>
      <w:r w:rsidR="00122298">
        <w:t>`</w:t>
      </w:r>
      <w:r w:rsidRPr="00CA1E66">
        <w:t>out of borough</w:t>
      </w:r>
      <w:r w:rsidR="00122298">
        <w:t>’</w:t>
      </w:r>
      <w:r w:rsidRPr="00CA1E66">
        <w:t xml:space="preserve"> has increased due to the increased number of EHCPs Merton had to </w:t>
      </w:r>
      <w:r w:rsidR="004E42C3">
        <w:t xml:space="preserve">statutory </w:t>
      </w:r>
      <w:r w:rsidRPr="00CA1E66">
        <w:t>support.</w:t>
      </w:r>
    </w:p>
    <w:p w14:paraId="6B8B182E" w14:textId="77777777" w:rsidR="00582341" w:rsidRPr="00CA1E66" w:rsidRDefault="00582341" w:rsidP="00CA1E66">
      <w:pPr>
        <w:pStyle w:val="ListParagraph"/>
        <w:jc w:val="both"/>
      </w:pPr>
    </w:p>
    <w:p w14:paraId="1A717EAC" w14:textId="19E66A9A" w:rsidR="009B14E1" w:rsidRPr="00CA1E66" w:rsidRDefault="009B14E1" w:rsidP="004E42C3">
      <w:pPr>
        <w:pStyle w:val="Header"/>
        <w:numPr>
          <w:ilvl w:val="1"/>
          <w:numId w:val="14"/>
        </w:numPr>
        <w:tabs>
          <w:tab w:val="clear" w:pos="4153"/>
          <w:tab w:val="clear" w:pos="8306"/>
        </w:tabs>
        <w:ind w:hanging="720"/>
        <w:jc w:val="both"/>
      </w:pPr>
      <w:r w:rsidRPr="00CA1E66">
        <w:rPr>
          <w:szCs w:val="24"/>
        </w:rPr>
        <w:t xml:space="preserve">Further Education and post 16 Independent Specialist Provision </w:t>
      </w:r>
      <w:r>
        <w:rPr>
          <w:szCs w:val="24"/>
        </w:rPr>
        <w:t>was over spent by £577</w:t>
      </w:r>
      <w:r w:rsidRPr="00CA1E66">
        <w:rPr>
          <w:szCs w:val="24"/>
        </w:rPr>
        <w:t xml:space="preserve">k. This is linked to the legislation changes requiring local authorities to fund the education of SEND pupils up to the age of 25. </w:t>
      </w:r>
    </w:p>
    <w:p w14:paraId="4B324CD1" w14:textId="6DDDE523" w:rsidR="009B14E1" w:rsidRPr="009B14E1" w:rsidRDefault="009B14E1" w:rsidP="009B14E1">
      <w:pPr>
        <w:pStyle w:val="Header"/>
        <w:tabs>
          <w:tab w:val="clear" w:pos="4153"/>
          <w:tab w:val="clear" w:pos="8306"/>
        </w:tabs>
        <w:ind w:left="720"/>
        <w:jc w:val="both"/>
      </w:pPr>
    </w:p>
    <w:p w14:paraId="6D537A26" w14:textId="0B4B6AE9" w:rsidR="00D54559" w:rsidRPr="00D54559" w:rsidRDefault="00D54559" w:rsidP="004E42C3">
      <w:pPr>
        <w:pStyle w:val="Header"/>
        <w:numPr>
          <w:ilvl w:val="1"/>
          <w:numId w:val="14"/>
        </w:numPr>
        <w:tabs>
          <w:tab w:val="clear" w:pos="4153"/>
          <w:tab w:val="clear" w:pos="8306"/>
        </w:tabs>
        <w:ind w:hanging="720"/>
        <w:jc w:val="both"/>
      </w:pPr>
      <w:r>
        <w:t xml:space="preserve">The sensory team reported a </w:t>
      </w:r>
      <w:r w:rsidRPr="00924EB9">
        <w:t>saving of £25k due to staff vacancies.</w:t>
      </w:r>
    </w:p>
    <w:p w14:paraId="3EC85625" w14:textId="77777777" w:rsidR="00D54559" w:rsidRDefault="00D54559" w:rsidP="00D54559">
      <w:pPr>
        <w:pStyle w:val="ListParagraph"/>
      </w:pPr>
    </w:p>
    <w:p w14:paraId="5ADFA446" w14:textId="09049758" w:rsidR="00D54559" w:rsidRPr="00D54559" w:rsidRDefault="00D54559" w:rsidP="004E42C3">
      <w:pPr>
        <w:pStyle w:val="Header"/>
        <w:numPr>
          <w:ilvl w:val="1"/>
          <w:numId w:val="14"/>
        </w:numPr>
        <w:tabs>
          <w:tab w:val="clear" w:pos="4153"/>
          <w:tab w:val="clear" w:pos="8306"/>
        </w:tabs>
        <w:ind w:hanging="720"/>
        <w:jc w:val="both"/>
      </w:pPr>
      <w:r>
        <w:t>Early Years back office reported an over spend of £94k due to COVID-19 administration of the Early Years formula to schools and settings.</w:t>
      </w:r>
    </w:p>
    <w:p w14:paraId="1DEF4881" w14:textId="77777777" w:rsidR="00D54559" w:rsidRDefault="00D54559" w:rsidP="00D54559">
      <w:pPr>
        <w:pStyle w:val="ListParagraph"/>
      </w:pPr>
    </w:p>
    <w:p w14:paraId="2BD820A6" w14:textId="2087D9BE" w:rsidR="00D54559" w:rsidRPr="00D54559" w:rsidRDefault="00D54559" w:rsidP="004E42C3">
      <w:pPr>
        <w:pStyle w:val="Header"/>
        <w:numPr>
          <w:ilvl w:val="1"/>
          <w:numId w:val="14"/>
        </w:numPr>
        <w:tabs>
          <w:tab w:val="clear" w:pos="4153"/>
          <w:tab w:val="clear" w:pos="8306"/>
        </w:tabs>
        <w:ind w:hanging="720"/>
        <w:jc w:val="both"/>
      </w:pPr>
      <w:r w:rsidRPr="00CA1E66">
        <w:t>The parenting cover budget has under spent by £</w:t>
      </w:r>
      <w:r>
        <w:t>9</w:t>
      </w:r>
      <w:r w:rsidRPr="00CA1E66">
        <w:t xml:space="preserve">k at the end of March. </w:t>
      </w:r>
    </w:p>
    <w:p w14:paraId="35EEBCE0" w14:textId="77777777" w:rsidR="00D54559" w:rsidRDefault="00D54559" w:rsidP="00D54559">
      <w:pPr>
        <w:pStyle w:val="ListParagraph"/>
      </w:pPr>
    </w:p>
    <w:p w14:paraId="2F932E91" w14:textId="2539E380" w:rsidR="00D54559" w:rsidRDefault="00D54559" w:rsidP="004E42C3">
      <w:pPr>
        <w:pStyle w:val="Header"/>
        <w:numPr>
          <w:ilvl w:val="1"/>
          <w:numId w:val="14"/>
        </w:numPr>
        <w:tabs>
          <w:tab w:val="clear" w:pos="4153"/>
          <w:tab w:val="clear" w:pos="8306"/>
        </w:tabs>
        <w:ind w:hanging="720"/>
        <w:jc w:val="both"/>
      </w:pPr>
      <w:r>
        <w:t>Schools causing concern has reported an under spend of £20k at the end of March 2021.</w:t>
      </w:r>
    </w:p>
    <w:p w14:paraId="348FCFF6" w14:textId="77777777" w:rsidR="00D54559" w:rsidRDefault="00D54559" w:rsidP="00D54559">
      <w:pPr>
        <w:pStyle w:val="ListParagraph"/>
      </w:pPr>
    </w:p>
    <w:p w14:paraId="38D95CB9" w14:textId="1CC28089" w:rsidR="00D54559" w:rsidRDefault="00D54559" w:rsidP="004E42C3">
      <w:pPr>
        <w:pStyle w:val="Header"/>
        <w:numPr>
          <w:ilvl w:val="1"/>
          <w:numId w:val="14"/>
        </w:numPr>
        <w:tabs>
          <w:tab w:val="clear" w:pos="4153"/>
          <w:tab w:val="clear" w:pos="8306"/>
        </w:tabs>
        <w:ind w:hanging="720"/>
        <w:jc w:val="both"/>
      </w:pPr>
      <w:r>
        <w:t>Prudential borrowing costs reported a saving of £177k against central services budget.</w:t>
      </w:r>
    </w:p>
    <w:p w14:paraId="59723C5D" w14:textId="77777777" w:rsidR="00D54559" w:rsidRDefault="00D54559" w:rsidP="00D54559">
      <w:pPr>
        <w:pStyle w:val="ListParagraph"/>
      </w:pPr>
    </w:p>
    <w:p w14:paraId="6CC9C655" w14:textId="1B4654F5" w:rsidR="00D54559" w:rsidRDefault="00D54559" w:rsidP="004E42C3">
      <w:pPr>
        <w:pStyle w:val="Header"/>
        <w:numPr>
          <w:ilvl w:val="1"/>
          <w:numId w:val="14"/>
        </w:numPr>
        <w:tabs>
          <w:tab w:val="clear" w:pos="4153"/>
          <w:tab w:val="clear" w:pos="8306"/>
        </w:tabs>
        <w:ind w:hanging="720"/>
        <w:jc w:val="both"/>
      </w:pPr>
      <w:r>
        <w:t xml:space="preserve">School admissions </w:t>
      </w:r>
      <w:r w:rsidR="00122298">
        <w:t xml:space="preserve">expenditure </w:t>
      </w:r>
      <w:r>
        <w:t xml:space="preserve">supported from central services </w:t>
      </w:r>
      <w:r w:rsidR="00122298">
        <w:t xml:space="preserve">block </w:t>
      </w:r>
      <w:r>
        <w:t>reported a saving of £22k.</w:t>
      </w:r>
    </w:p>
    <w:p w14:paraId="139F4AE1" w14:textId="77777777" w:rsidR="00D54559" w:rsidRDefault="00D54559" w:rsidP="00D54559">
      <w:pPr>
        <w:pStyle w:val="ListParagraph"/>
      </w:pPr>
    </w:p>
    <w:p w14:paraId="7460BFB4" w14:textId="70DD2397" w:rsidR="00D54559" w:rsidRDefault="00D54559" w:rsidP="004E42C3">
      <w:pPr>
        <w:pStyle w:val="Header"/>
        <w:numPr>
          <w:ilvl w:val="1"/>
          <w:numId w:val="14"/>
        </w:numPr>
        <w:tabs>
          <w:tab w:val="clear" w:pos="4153"/>
          <w:tab w:val="clear" w:pos="8306"/>
        </w:tabs>
        <w:ind w:hanging="720"/>
        <w:jc w:val="both"/>
      </w:pPr>
      <w:r>
        <w:t xml:space="preserve">School meals equipment </w:t>
      </w:r>
      <w:r w:rsidR="00122298">
        <w:t xml:space="preserve">de-delegation </w:t>
      </w:r>
      <w:r>
        <w:t>budget of £40k</w:t>
      </w:r>
      <w:r w:rsidR="003F67F4">
        <w:t xml:space="preserve"> reported a saving of £3k.</w:t>
      </w:r>
    </w:p>
    <w:p w14:paraId="4AF90747" w14:textId="77777777" w:rsidR="003F67F4" w:rsidRDefault="003F67F4" w:rsidP="003F67F4">
      <w:pPr>
        <w:pStyle w:val="ListParagraph"/>
      </w:pPr>
    </w:p>
    <w:p w14:paraId="22D8A78F" w14:textId="5D0CC40B" w:rsidR="003F67F4" w:rsidRDefault="00122298" w:rsidP="004E42C3">
      <w:pPr>
        <w:pStyle w:val="Header"/>
        <w:numPr>
          <w:ilvl w:val="1"/>
          <w:numId w:val="14"/>
        </w:numPr>
        <w:tabs>
          <w:tab w:val="clear" w:pos="4153"/>
          <w:tab w:val="clear" w:pos="8306"/>
        </w:tabs>
        <w:ind w:hanging="720"/>
        <w:jc w:val="both"/>
      </w:pPr>
      <w:r>
        <w:lastRenderedPageBreak/>
        <w:t>The d</w:t>
      </w:r>
      <w:r w:rsidR="003F67F4">
        <w:t>e-delegation budget for Behaviour support reported a saving of £17k.</w:t>
      </w:r>
    </w:p>
    <w:p w14:paraId="565ACF6A" w14:textId="77777777" w:rsidR="003F67F4" w:rsidRDefault="003F67F4" w:rsidP="003F67F4">
      <w:pPr>
        <w:pStyle w:val="ListParagraph"/>
      </w:pPr>
    </w:p>
    <w:p w14:paraId="1FFDDCF6" w14:textId="41DE5E49" w:rsidR="003F67F4" w:rsidRDefault="003F67F4" w:rsidP="004E42C3">
      <w:pPr>
        <w:pStyle w:val="Header"/>
        <w:numPr>
          <w:ilvl w:val="1"/>
          <w:numId w:val="14"/>
        </w:numPr>
        <w:tabs>
          <w:tab w:val="clear" w:pos="4153"/>
          <w:tab w:val="clear" w:pos="8306"/>
        </w:tabs>
        <w:ind w:hanging="720"/>
        <w:jc w:val="both"/>
      </w:pPr>
      <w:r>
        <w:t>Attain de-delegated budget reported a saving as in previous years of £39k</w:t>
      </w:r>
      <w:r w:rsidR="004E42C3">
        <w:t>.</w:t>
      </w:r>
    </w:p>
    <w:p w14:paraId="7501BD5E" w14:textId="77777777" w:rsidR="003F67F4" w:rsidRDefault="003F67F4" w:rsidP="003F67F4">
      <w:pPr>
        <w:pStyle w:val="ListParagraph"/>
      </w:pPr>
    </w:p>
    <w:p w14:paraId="749A3832" w14:textId="61CEFE1C" w:rsidR="003F67F4" w:rsidRDefault="003F67F4" w:rsidP="004E42C3">
      <w:pPr>
        <w:pStyle w:val="Header"/>
        <w:numPr>
          <w:ilvl w:val="1"/>
          <w:numId w:val="14"/>
        </w:numPr>
        <w:tabs>
          <w:tab w:val="clear" w:pos="4153"/>
          <w:tab w:val="clear" w:pos="8306"/>
        </w:tabs>
        <w:ind w:hanging="720"/>
        <w:jc w:val="both"/>
      </w:pPr>
      <w:r>
        <w:t>De-delegated budget for schools environmental support for Tree maintenance reported a saving of £11k.</w:t>
      </w:r>
    </w:p>
    <w:p w14:paraId="60C8E75E" w14:textId="77777777" w:rsidR="003F67F4" w:rsidRDefault="003F67F4" w:rsidP="003F67F4">
      <w:pPr>
        <w:pStyle w:val="ListParagraph"/>
      </w:pPr>
    </w:p>
    <w:p w14:paraId="5CF7589A" w14:textId="2BBF7495" w:rsidR="003F67F4" w:rsidRDefault="003F67F4" w:rsidP="004E42C3">
      <w:pPr>
        <w:pStyle w:val="Header"/>
        <w:numPr>
          <w:ilvl w:val="1"/>
          <w:numId w:val="14"/>
        </w:numPr>
        <w:tabs>
          <w:tab w:val="clear" w:pos="4153"/>
          <w:tab w:val="clear" w:pos="8306"/>
        </w:tabs>
        <w:ind w:hanging="720"/>
        <w:jc w:val="both"/>
      </w:pPr>
      <w:r>
        <w:t xml:space="preserve">School improvement </w:t>
      </w:r>
      <w:r w:rsidR="00122298">
        <w:t xml:space="preserve">budget </w:t>
      </w:r>
      <w:r>
        <w:t>reported a small pressure of £6k.</w:t>
      </w:r>
    </w:p>
    <w:p w14:paraId="7A918A80" w14:textId="77777777" w:rsidR="003F67F4" w:rsidRDefault="003F67F4" w:rsidP="003F67F4">
      <w:pPr>
        <w:pStyle w:val="ListParagraph"/>
      </w:pPr>
    </w:p>
    <w:p w14:paraId="7FD0F7D2" w14:textId="2F2F3D52" w:rsidR="003F67F4" w:rsidRDefault="003F67F4" w:rsidP="004E42C3">
      <w:pPr>
        <w:pStyle w:val="Header"/>
        <w:numPr>
          <w:ilvl w:val="1"/>
          <w:numId w:val="14"/>
        </w:numPr>
        <w:tabs>
          <w:tab w:val="clear" w:pos="4153"/>
          <w:tab w:val="clear" w:pos="8306"/>
        </w:tabs>
        <w:ind w:hanging="720"/>
        <w:jc w:val="both"/>
      </w:pPr>
      <w:r>
        <w:t xml:space="preserve">Education Welfare </w:t>
      </w:r>
      <w:r w:rsidR="00122298">
        <w:t>reported a saving within the HNB</w:t>
      </w:r>
      <w:r>
        <w:t xml:space="preserve"> of £26k</w:t>
      </w:r>
      <w:r w:rsidR="004E42C3">
        <w:t xml:space="preserve"> due to </w:t>
      </w:r>
      <w:r w:rsidR="00122298">
        <w:t xml:space="preserve">a </w:t>
      </w:r>
      <w:r w:rsidR="009441C7">
        <w:t>reduced demand in</w:t>
      </w:r>
      <w:r w:rsidR="004E42C3">
        <w:t xml:space="preserve"> schools d</w:t>
      </w:r>
      <w:r w:rsidR="00122298">
        <w:t>uring COVID-19.</w:t>
      </w:r>
    </w:p>
    <w:p w14:paraId="5EF41BFF" w14:textId="77777777" w:rsidR="003F67F4" w:rsidRDefault="003F67F4" w:rsidP="003F67F4">
      <w:pPr>
        <w:pStyle w:val="ListParagraph"/>
      </w:pPr>
    </w:p>
    <w:p w14:paraId="74793A68" w14:textId="10FAF0C1" w:rsidR="003F67F4" w:rsidRDefault="003F67F4" w:rsidP="004E42C3">
      <w:pPr>
        <w:pStyle w:val="Header"/>
        <w:numPr>
          <w:ilvl w:val="1"/>
          <w:numId w:val="14"/>
        </w:numPr>
        <w:tabs>
          <w:tab w:val="clear" w:pos="4153"/>
          <w:tab w:val="clear" w:pos="8306"/>
        </w:tabs>
        <w:ind w:hanging="720"/>
        <w:jc w:val="both"/>
      </w:pPr>
      <w:r>
        <w:t xml:space="preserve">Independent Hospital provision overspent by £14K due to </w:t>
      </w:r>
      <w:r w:rsidR="004E42C3">
        <w:t xml:space="preserve">in year </w:t>
      </w:r>
      <w:r>
        <w:t>demand.</w:t>
      </w:r>
    </w:p>
    <w:p w14:paraId="5656F190" w14:textId="77777777" w:rsidR="003F67F4" w:rsidRDefault="003F67F4" w:rsidP="003F67F4">
      <w:pPr>
        <w:pStyle w:val="ListParagraph"/>
      </w:pPr>
    </w:p>
    <w:p w14:paraId="638B158F" w14:textId="6FB713AB" w:rsidR="003F67F4" w:rsidRDefault="003F67F4" w:rsidP="004E42C3">
      <w:pPr>
        <w:pStyle w:val="Header"/>
        <w:numPr>
          <w:ilvl w:val="1"/>
          <w:numId w:val="14"/>
        </w:numPr>
        <w:tabs>
          <w:tab w:val="clear" w:pos="4153"/>
          <w:tab w:val="clear" w:pos="8306"/>
        </w:tabs>
        <w:ind w:hanging="720"/>
        <w:jc w:val="both"/>
      </w:pPr>
      <w:r>
        <w:t>Independent Residential EHCP budget was underspent by £</w:t>
      </w:r>
      <w:r w:rsidR="00F51AB8">
        <w:t>521</w:t>
      </w:r>
      <w:r>
        <w:t>k due to an increase in budget in support of the over spend in the previous financial year.</w:t>
      </w:r>
    </w:p>
    <w:p w14:paraId="55BA50A8" w14:textId="77777777" w:rsidR="003F67F4" w:rsidRDefault="003F67F4" w:rsidP="003F67F4">
      <w:pPr>
        <w:pStyle w:val="ListParagraph"/>
      </w:pPr>
    </w:p>
    <w:p w14:paraId="59A40E34" w14:textId="0625D277" w:rsidR="003F67F4" w:rsidRPr="00D54559" w:rsidRDefault="0049324F" w:rsidP="004E42C3">
      <w:pPr>
        <w:pStyle w:val="Header"/>
        <w:numPr>
          <w:ilvl w:val="1"/>
          <w:numId w:val="14"/>
        </w:numPr>
        <w:tabs>
          <w:tab w:val="clear" w:pos="4153"/>
          <w:tab w:val="clear" w:pos="8306"/>
        </w:tabs>
        <w:ind w:hanging="720"/>
        <w:jc w:val="both"/>
      </w:pPr>
      <w:r>
        <w:t>SEN early years 0-5 budget within the HNB was underspent by £138k due to COVID-19 and low take up.</w:t>
      </w:r>
    </w:p>
    <w:p w14:paraId="21D2EE95" w14:textId="77777777" w:rsidR="00582341" w:rsidRPr="00CA1E66" w:rsidRDefault="00582341" w:rsidP="00CA1E66">
      <w:pPr>
        <w:pStyle w:val="ListParagraph"/>
        <w:jc w:val="both"/>
      </w:pPr>
    </w:p>
    <w:p w14:paraId="3BF75791" w14:textId="63426B7E" w:rsidR="00F4301A" w:rsidRPr="00CA1E66" w:rsidRDefault="007E18A6" w:rsidP="004E42C3">
      <w:pPr>
        <w:pStyle w:val="Header"/>
        <w:numPr>
          <w:ilvl w:val="1"/>
          <w:numId w:val="14"/>
        </w:numPr>
        <w:tabs>
          <w:tab w:val="clear" w:pos="4153"/>
          <w:tab w:val="clear" w:pos="8306"/>
        </w:tabs>
        <w:ind w:hanging="720"/>
        <w:jc w:val="both"/>
      </w:pPr>
      <w:r w:rsidRPr="00CA1E66">
        <w:rPr>
          <w:szCs w:val="24"/>
        </w:rPr>
        <w:t>The</w:t>
      </w:r>
      <w:r w:rsidR="0049324F">
        <w:rPr>
          <w:szCs w:val="24"/>
        </w:rPr>
        <w:t xml:space="preserve"> </w:t>
      </w:r>
      <w:r w:rsidRPr="00CA1E66">
        <w:rPr>
          <w:szCs w:val="24"/>
        </w:rPr>
        <w:t>combine</w:t>
      </w:r>
      <w:r w:rsidR="00912D0D" w:rsidRPr="00CA1E66">
        <w:rPr>
          <w:szCs w:val="24"/>
        </w:rPr>
        <w:t>d</w:t>
      </w:r>
      <w:r w:rsidRPr="00CA1E66">
        <w:rPr>
          <w:szCs w:val="24"/>
        </w:rPr>
        <w:t xml:space="preserve"> </w:t>
      </w:r>
      <w:r w:rsidR="0049324F">
        <w:rPr>
          <w:szCs w:val="24"/>
        </w:rPr>
        <w:t xml:space="preserve">four blocks of under and over spends for 2020/21 reports </w:t>
      </w:r>
      <w:r w:rsidR="00D40974">
        <w:rPr>
          <w:szCs w:val="24"/>
        </w:rPr>
        <w:t>an</w:t>
      </w:r>
      <w:r w:rsidR="00C2019B" w:rsidRPr="00CA1E66">
        <w:rPr>
          <w:szCs w:val="24"/>
        </w:rPr>
        <w:t xml:space="preserve"> o</w:t>
      </w:r>
      <w:r w:rsidR="00671182" w:rsidRPr="00CA1E66">
        <w:rPr>
          <w:szCs w:val="24"/>
        </w:rPr>
        <w:t xml:space="preserve">utturn </w:t>
      </w:r>
      <w:r w:rsidR="00AD3C1F" w:rsidRPr="00CA1E66">
        <w:rPr>
          <w:szCs w:val="24"/>
        </w:rPr>
        <w:t>of £</w:t>
      </w:r>
      <w:r w:rsidR="0049324F">
        <w:rPr>
          <w:szCs w:val="24"/>
        </w:rPr>
        <w:t>12</w:t>
      </w:r>
      <w:r w:rsidR="00F523E8" w:rsidRPr="00CA1E66">
        <w:rPr>
          <w:szCs w:val="24"/>
        </w:rPr>
        <w:t>.2</w:t>
      </w:r>
      <w:r w:rsidR="0049324F">
        <w:rPr>
          <w:szCs w:val="24"/>
        </w:rPr>
        <w:t>31</w:t>
      </w:r>
      <w:r w:rsidR="008C2492" w:rsidRPr="00CA1E66">
        <w:rPr>
          <w:szCs w:val="24"/>
        </w:rPr>
        <w:t>m</w:t>
      </w:r>
      <w:r w:rsidR="002A5533">
        <w:rPr>
          <w:szCs w:val="24"/>
        </w:rPr>
        <w:t xml:space="preserve"> and cumulative DSG deficit in total of </w:t>
      </w:r>
      <w:r w:rsidR="00D40974">
        <w:rPr>
          <w:szCs w:val="24"/>
        </w:rPr>
        <w:t>£24.981m.</w:t>
      </w:r>
      <w:r w:rsidR="00122298">
        <w:rPr>
          <w:szCs w:val="24"/>
        </w:rPr>
        <w:t xml:space="preserve">  T</w:t>
      </w:r>
      <w:r w:rsidR="002A5533">
        <w:rPr>
          <w:szCs w:val="24"/>
        </w:rPr>
        <w:t>his cumulative DSG is held as an unusable reserve.</w:t>
      </w:r>
    </w:p>
    <w:p w14:paraId="1AE73297" w14:textId="7C9E8C7E" w:rsidR="002E2DD2" w:rsidRDefault="002E2DD2">
      <w:pPr>
        <w:pStyle w:val="Header"/>
        <w:tabs>
          <w:tab w:val="clear" w:pos="4153"/>
          <w:tab w:val="clear" w:pos="8306"/>
        </w:tabs>
      </w:pPr>
    </w:p>
    <w:p w14:paraId="6980C7DD" w14:textId="77777777" w:rsidR="004E42C3" w:rsidRPr="00671182" w:rsidRDefault="004E42C3">
      <w:pPr>
        <w:pStyle w:val="Header"/>
        <w:tabs>
          <w:tab w:val="clear" w:pos="4153"/>
          <w:tab w:val="clear" w:pos="8306"/>
        </w:tabs>
      </w:pPr>
    </w:p>
    <w:p w14:paraId="23AF20E1" w14:textId="3D9B26B9" w:rsidR="00DE37CE" w:rsidRPr="00DE37CE" w:rsidRDefault="008C2492" w:rsidP="00DE37CE">
      <w:pPr>
        <w:pStyle w:val="Header"/>
        <w:numPr>
          <w:ilvl w:val="0"/>
          <w:numId w:val="2"/>
        </w:numPr>
        <w:tabs>
          <w:tab w:val="clear" w:pos="4153"/>
          <w:tab w:val="clear" w:pos="8306"/>
        </w:tabs>
        <w:ind w:hanging="720"/>
        <w:jc w:val="both"/>
      </w:pPr>
      <w:r w:rsidRPr="00DE37CE">
        <w:rPr>
          <w:rFonts w:cs="Arial"/>
          <w:b/>
          <w:bCs/>
          <w:sz w:val="28"/>
        </w:rPr>
        <w:t>Future pressure</w:t>
      </w:r>
    </w:p>
    <w:p w14:paraId="04294EFE" w14:textId="77777777" w:rsidR="00DE37CE" w:rsidRPr="00DE37CE" w:rsidRDefault="00DE37CE" w:rsidP="00DE37CE">
      <w:pPr>
        <w:pStyle w:val="Header"/>
        <w:tabs>
          <w:tab w:val="clear" w:pos="4153"/>
          <w:tab w:val="clear" w:pos="8306"/>
        </w:tabs>
        <w:ind w:left="720"/>
        <w:jc w:val="both"/>
      </w:pPr>
    </w:p>
    <w:p w14:paraId="5AD5217E" w14:textId="66FA1972" w:rsidR="00331168" w:rsidRPr="00DE37CE" w:rsidRDefault="00370DEA" w:rsidP="00DE37CE">
      <w:pPr>
        <w:pStyle w:val="Header"/>
        <w:numPr>
          <w:ilvl w:val="0"/>
          <w:numId w:val="8"/>
        </w:numPr>
        <w:tabs>
          <w:tab w:val="clear" w:pos="927"/>
          <w:tab w:val="clear" w:pos="4153"/>
          <w:tab w:val="clear" w:pos="8306"/>
          <w:tab w:val="num" w:pos="720"/>
        </w:tabs>
        <w:ind w:left="720" w:hanging="720"/>
        <w:jc w:val="both"/>
      </w:pPr>
      <w:r>
        <w:rPr>
          <w:noProof/>
          <w:lang w:eastAsia="en-GB"/>
        </w:rPr>
        <w:drawing>
          <wp:anchor distT="0" distB="0" distL="114300" distR="114300" simplePos="0" relativeHeight="251660288" behindDoc="0" locked="0" layoutInCell="1" allowOverlap="1" wp14:anchorId="27ACB007" wp14:editId="4BCEB94A">
            <wp:simplePos x="0" y="0"/>
            <wp:positionH relativeFrom="column">
              <wp:posOffset>-483741</wp:posOffset>
            </wp:positionH>
            <wp:positionV relativeFrom="paragraph">
              <wp:posOffset>639091</wp:posOffset>
            </wp:positionV>
            <wp:extent cx="6799580" cy="3761772"/>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9580" cy="3761772"/>
                    </a:xfrm>
                    <a:prstGeom prst="rect">
                      <a:avLst/>
                    </a:prstGeom>
                    <a:noFill/>
                  </pic:spPr>
                </pic:pic>
              </a:graphicData>
            </a:graphic>
            <wp14:sizeRelH relativeFrom="margin">
              <wp14:pctWidth>0</wp14:pctWidth>
            </wp14:sizeRelH>
            <wp14:sizeRelV relativeFrom="margin">
              <wp14:pctHeight>0</wp14:pctHeight>
            </wp14:sizeRelV>
          </wp:anchor>
        </w:drawing>
      </w:r>
      <w:r w:rsidR="0000691E" w:rsidRPr="00DE37CE">
        <w:t>The overall cost for SEN has increased</w:t>
      </w:r>
      <w:r w:rsidR="00A90509" w:rsidRPr="00DE37CE">
        <w:t xml:space="preserve"> s</w:t>
      </w:r>
      <w:r w:rsidR="00427415" w:rsidRPr="00DE37CE">
        <w:t>ignificantly over the past f</w:t>
      </w:r>
      <w:r w:rsidR="00D40974" w:rsidRPr="00DE37CE">
        <w:t xml:space="preserve">ive </w:t>
      </w:r>
      <w:r w:rsidR="0000691E" w:rsidRPr="00DE37CE">
        <w:t>years as a result of increased number</w:t>
      </w:r>
      <w:r w:rsidR="00724DEF" w:rsidRPr="00DE37CE">
        <w:t>s</w:t>
      </w:r>
      <w:r w:rsidR="0000691E" w:rsidRPr="00DE37CE">
        <w:t xml:space="preserve"> of pupils being supported. </w:t>
      </w:r>
      <w:r w:rsidR="003C33A0" w:rsidRPr="00DE37CE">
        <w:t xml:space="preserve">The </w:t>
      </w:r>
      <w:r w:rsidR="00CA1E66" w:rsidRPr="00DE37CE">
        <w:t>following table</w:t>
      </w:r>
      <w:r w:rsidR="004E42C3" w:rsidRPr="00DE37CE">
        <w:t xml:space="preserve"> 4</w:t>
      </w:r>
      <w:r w:rsidR="00CA1E66" w:rsidRPr="00DE37CE">
        <w:t xml:space="preserve"> </w:t>
      </w:r>
      <w:r w:rsidR="003C33A0" w:rsidRPr="00DE37CE">
        <w:t>details the impact of the increase</w:t>
      </w:r>
      <w:r w:rsidR="00D40974" w:rsidRPr="00DE37CE">
        <w:t xml:space="preserve"> in EHCPs</w:t>
      </w:r>
      <w:r w:rsidR="002D49FF" w:rsidRPr="00DE37CE">
        <w:t>.</w:t>
      </w:r>
    </w:p>
    <w:p w14:paraId="3A0D1942" w14:textId="5E69214C" w:rsidR="00353C19" w:rsidRDefault="00353C19" w:rsidP="00CA1E66">
      <w:pPr>
        <w:jc w:val="both"/>
        <w:rPr>
          <w:rFonts w:ascii="Arial" w:hAnsi="Arial"/>
          <w:szCs w:val="20"/>
          <w:highlight w:val="yellow"/>
        </w:rPr>
      </w:pPr>
    </w:p>
    <w:p w14:paraId="022F4ED5" w14:textId="5050AEBB" w:rsidR="00DE37CE" w:rsidRDefault="00DE37CE" w:rsidP="00CA1E66">
      <w:pPr>
        <w:jc w:val="both"/>
        <w:rPr>
          <w:rFonts w:ascii="Arial" w:hAnsi="Arial"/>
          <w:szCs w:val="20"/>
          <w:highlight w:val="yellow"/>
        </w:rPr>
      </w:pPr>
    </w:p>
    <w:p w14:paraId="424C0D75" w14:textId="5791BD5B" w:rsidR="00DE37CE" w:rsidRDefault="00DE37CE" w:rsidP="00CA1E66">
      <w:pPr>
        <w:jc w:val="both"/>
        <w:rPr>
          <w:rFonts w:ascii="Arial" w:hAnsi="Arial"/>
          <w:szCs w:val="20"/>
          <w:highlight w:val="yellow"/>
        </w:rPr>
      </w:pPr>
    </w:p>
    <w:p w14:paraId="0D1A23A7" w14:textId="2C8831E0" w:rsidR="00DE37CE" w:rsidRDefault="00DE37CE" w:rsidP="00CA1E66">
      <w:pPr>
        <w:jc w:val="both"/>
        <w:rPr>
          <w:rFonts w:ascii="Arial" w:hAnsi="Arial"/>
          <w:szCs w:val="20"/>
          <w:highlight w:val="yellow"/>
        </w:rPr>
      </w:pPr>
    </w:p>
    <w:p w14:paraId="7FEE36F0" w14:textId="461DFE18" w:rsidR="00DE37CE" w:rsidRDefault="00DE37CE" w:rsidP="00CA1E66">
      <w:pPr>
        <w:jc w:val="both"/>
        <w:rPr>
          <w:rFonts w:ascii="Arial" w:hAnsi="Arial"/>
          <w:szCs w:val="20"/>
          <w:highlight w:val="yellow"/>
        </w:rPr>
      </w:pPr>
    </w:p>
    <w:p w14:paraId="07A9BCFB" w14:textId="77777777" w:rsidR="00DE37CE" w:rsidRPr="00420DD5" w:rsidRDefault="00DE37CE" w:rsidP="00CA1E66">
      <w:pPr>
        <w:jc w:val="both"/>
        <w:rPr>
          <w:rFonts w:ascii="Arial" w:hAnsi="Arial"/>
          <w:szCs w:val="20"/>
          <w:highlight w:val="yellow"/>
        </w:rPr>
      </w:pPr>
    </w:p>
    <w:p w14:paraId="5447DB24" w14:textId="75924F9F" w:rsidR="00D77692" w:rsidRDefault="00D77692" w:rsidP="00DE37CE">
      <w:pPr>
        <w:numPr>
          <w:ilvl w:val="0"/>
          <w:numId w:val="8"/>
        </w:numPr>
        <w:tabs>
          <w:tab w:val="clear" w:pos="927"/>
          <w:tab w:val="num" w:pos="720"/>
        </w:tabs>
        <w:ind w:left="720" w:hanging="720"/>
        <w:jc w:val="both"/>
        <w:rPr>
          <w:rFonts w:ascii="Arial" w:hAnsi="Arial"/>
          <w:szCs w:val="20"/>
        </w:rPr>
      </w:pPr>
      <w:r w:rsidRPr="00D77692">
        <w:rPr>
          <w:rFonts w:ascii="Arial" w:hAnsi="Arial"/>
          <w:szCs w:val="20"/>
        </w:rPr>
        <w:t xml:space="preserve">Table 5 </w:t>
      </w:r>
      <w:r w:rsidR="00E920AF">
        <w:rPr>
          <w:rFonts w:ascii="Arial" w:hAnsi="Arial"/>
          <w:szCs w:val="20"/>
        </w:rPr>
        <w:t>below details numbers of EHCPs and ages of children</w:t>
      </w:r>
      <w:r>
        <w:rPr>
          <w:rStyle w:val="FootnoteReference"/>
          <w:rFonts w:ascii="Arial" w:hAnsi="Arial"/>
          <w:szCs w:val="20"/>
        </w:rPr>
        <w:footnoteReference w:id="3"/>
      </w:r>
    </w:p>
    <w:p w14:paraId="76CA3724" w14:textId="37FEDA91" w:rsidR="00D77692" w:rsidRDefault="00D77692" w:rsidP="00D77692">
      <w:pPr>
        <w:pStyle w:val="ListParagraph"/>
        <w:rPr>
          <w:rFonts w:ascii="Arial" w:hAnsi="Arial"/>
          <w:szCs w:val="20"/>
        </w:rPr>
      </w:pPr>
      <w:r w:rsidRPr="00D77692">
        <w:rPr>
          <w:noProof/>
          <w:lang w:eastAsia="en-GB"/>
        </w:rPr>
        <w:drawing>
          <wp:anchor distT="0" distB="0" distL="114300" distR="114300" simplePos="0" relativeHeight="251661312" behindDoc="0" locked="0" layoutInCell="1" allowOverlap="1" wp14:anchorId="79C2D8F3" wp14:editId="2B65E68D">
            <wp:simplePos x="0" y="0"/>
            <wp:positionH relativeFrom="column">
              <wp:posOffset>-20955</wp:posOffset>
            </wp:positionH>
            <wp:positionV relativeFrom="paragraph">
              <wp:posOffset>278130</wp:posOffset>
            </wp:positionV>
            <wp:extent cx="5758815" cy="22453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8815" cy="2245360"/>
                    </a:xfrm>
                    <a:prstGeom prst="rect">
                      <a:avLst/>
                    </a:prstGeom>
                    <a:noFill/>
                    <a:ln>
                      <a:noFill/>
                    </a:ln>
                  </pic:spPr>
                </pic:pic>
              </a:graphicData>
            </a:graphic>
            <wp14:sizeRelV relativeFrom="margin">
              <wp14:pctHeight>0</wp14:pctHeight>
            </wp14:sizeRelV>
          </wp:anchor>
        </w:drawing>
      </w:r>
    </w:p>
    <w:p w14:paraId="797D5D18" w14:textId="62DF9FB5" w:rsidR="00D77692" w:rsidRDefault="00D77692" w:rsidP="00D77692">
      <w:pPr>
        <w:ind w:left="720"/>
        <w:jc w:val="both"/>
        <w:rPr>
          <w:rFonts w:ascii="Arial" w:hAnsi="Arial"/>
          <w:szCs w:val="20"/>
        </w:rPr>
      </w:pPr>
    </w:p>
    <w:p w14:paraId="7FBD5160" w14:textId="77777777" w:rsidR="00D77692" w:rsidRPr="00D77692" w:rsidRDefault="00D77692" w:rsidP="00D77692">
      <w:pPr>
        <w:ind w:left="720"/>
        <w:jc w:val="both"/>
        <w:rPr>
          <w:rFonts w:ascii="Arial" w:hAnsi="Arial"/>
          <w:szCs w:val="20"/>
        </w:rPr>
      </w:pPr>
    </w:p>
    <w:p w14:paraId="7FACFACD" w14:textId="361CBEC9" w:rsidR="00D40974" w:rsidRDefault="00D40974" w:rsidP="00CA1E66">
      <w:pPr>
        <w:numPr>
          <w:ilvl w:val="0"/>
          <w:numId w:val="8"/>
        </w:numPr>
        <w:tabs>
          <w:tab w:val="clear" w:pos="927"/>
          <w:tab w:val="num" w:pos="720"/>
        </w:tabs>
        <w:ind w:left="720" w:hanging="720"/>
        <w:jc w:val="both"/>
        <w:rPr>
          <w:rFonts w:ascii="Arial" w:hAnsi="Arial"/>
          <w:szCs w:val="20"/>
        </w:rPr>
      </w:pPr>
      <w:r>
        <w:rPr>
          <w:rFonts w:ascii="Arial" w:hAnsi="Arial"/>
          <w:szCs w:val="20"/>
        </w:rPr>
        <w:t xml:space="preserve">EHCP’s </w:t>
      </w:r>
      <w:r w:rsidR="00924EB9">
        <w:rPr>
          <w:rFonts w:ascii="Arial" w:hAnsi="Arial"/>
          <w:szCs w:val="20"/>
        </w:rPr>
        <w:t xml:space="preserve">within Merton </w:t>
      </w:r>
      <w:r>
        <w:rPr>
          <w:rFonts w:ascii="Arial" w:hAnsi="Arial"/>
          <w:szCs w:val="20"/>
        </w:rPr>
        <w:t>have grown an average of 16% over the 5 years yet the HNB funding</w:t>
      </w:r>
      <w:r w:rsidR="00170C17">
        <w:rPr>
          <w:rFonts w:ascii="Arial" w:hAnsi="Arial"/>
          <w:szCs w:val="20"/>
        </w:rPr>
        <w:t xml:space="preserve"> growth has s</w:t>
      </w:r>
      <w:r w:rsidR="00644C14">
        <w:rPr>
          <w:rFonts w:ascii="Arial" w:hAnsi="Arial"/>
          <w:szCs w:val="20"/>
        </w:rPr>
        <w:t>een an average growth</w:t>
      </w:r>
      <w:r>
        <w:rPr>
          <w:rFonts w:ascii="Arial" w:hAnsi="Arial"/>
          <w:szCs w:val="20"/>
        </w:rPr>
        <w:t xml:space="preserve"> of </w:t>
      </w:r>
      <w:r w:rsidR="00644C14" w:rsidRPr="00644C14">
        <w:rPr>
          <w:rFonts w:ascii="Arial" w:hAnsi="Arial"/>
          <w:szCs w:val="20"/>
        </w:rPr>
        <w:t>4</w:t>
      </w:r>
      <w:r w:rsidRPr="00644C14">
        <w:rPr>
          <w:rFonts w:ascii="Arial" w:hAnsi="Arial"/>
          <w:szCs w:val="20"/>
        </w:rPr>
        <w:t>%</w:t>
      </w:r>
      <w:r>
        <w:rPr>
          <w:rFonts w:ascii="Arial" w:hAnsi="Arial"/>
          <w:szCs w:val="20"/>
        </w:rPr>
        <w:t xml:space="preserve"> increase </w:t>
      </w:r>
      <w:r w:rsidR="00644C14">
        <w:rPr>
          <w:rFonts w:ascii="Arial" w:hAnsi="Arial"/>
          <w:szCs w:val="20"/>
        </w:rPr>
        <w:t>since 2018/1</w:t>
      </w:r>
      <w:r w:rsidR="00644C14" w:rsidRPr="00644C14">
        <w:rPr>
          <w:rFonts w:ascii="Arial" w:hAnsi="Arial"/>
          <w:szCs w:val="20"/>
        </w:rPr>
        <w:t>9</w:t>
      </w:r>
      <w:r w:rsidR="00644C14">
        <w:rPr>
          <w:rFonts w:ascii="Arial" w:hAnsi="Arial"/>
          <w:szCs w:val="20"/>
        </w:rPr>
        <w:t>, since the reporting deficit</w:t>
      </w:r>
      <w:r w:rsidRPr="00644C14">
        <w:rPr>
          <w:rFonts w:ascii="Arial" w:hAnsi="Arial"/>
          <w:szCs w:val="20"/>
        </w:rPr>
        <w:t>.</w:t>
      </w:r>
      <w:r>
        <w:rPr>
          <w:rFonts w:ascii="Arial" w:hAnsi="Arial"/>
          <w:szCs w:val="20"/>
        </w:rPr>
        <w:t xml:space="preserve">  This lack of funding has been a contributing factor to the DSG deficit as well as huge growth and demand for SEN provision within Merton.</w:t>
      </w:r>
    </w:p>
    <w:p w14:paraId="443F03E3" w14:textId="36C0698A" w:rsidR="00170C17" w:rsidRDefault="00170C17" w:rsidP="00170C17">
      <w:pPr>
        <w:jc w:val="both"/>
        <w:rPr>
          <w:rFonts w:ascii="Arial" w:hAnsi="Arial"/>
          <w:szCs w:val="20"/>
        </w:rPr>
      </w:pPr>
    </w:p>
    <w:p w14:paraId="238B3BB0" w14:textId="0E9DB6CA" w:rsidR="00170C17" w:rsidRDefault="00170C17" w:rsidP="00170C17">
      <w:pPr>
        <w:jc w:val="both"/>
        <w:rPr>
          <w:rFonts w:ascii="Arial" w:hAnsi="Arial"/>
          <w:szCs w:val="20"/>
        </w:rPr>
      </w:pPr>
      <w:r w:rsidRPr="00170C17">
        <w:rPr>
          <w:noProof/>
          <w:lang w:eastAsia="en-GB"/>
        </w:rPr>
        <w:drawing>
          <wp:anchor distT="0" distB="0" distL="114300" distR="114300" simplePos="0" relativeHeight="251663360" behindDoc="0" locked="0" layoutInCell="1" allowOverlap="1" wp14:anchorId="72B4D307" wp14:editId="2261A904">
            <wp:simplePos x="0" y="0"/>
            <wp:positionH relativeFrom="column">
              <wp:posOffset>968222</wp:posOffset>
            </wp:positionH>
            <wp:positionV relativeFrom="paragraph">
              <wp:posOffset>26670</wp:posOffset>
            </wp:positionV>
            <wp:extent cx="3211830" cy="966470"/>
            <wp:effectExtent l="0" t="0" r="762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1830" cy="966470"/>
                    </a:xfrm>
                    <a:prstGeom prst="rect">
                      <a:avLst/>
                    </a:prstGeom>
                    <a:noFill/>
                    <a:ln>
                      <a:noFill/>
                    </a:ln>
                  </pic:spPr>
                </pic:pic>
              </a:graphicData>
            </a:graphic>
          </wp:anchor>
        </w:drawing>
      </w:r>
    </w:p>
    <w:p w14:paraId="11BAC4F9" w14:textId="77777777" w:rsidR="009B3F86" w:rsidRDefault="009B3F86" w:rsidP="009B3F86">
      <w:pPr>
        <w:ind w:left="720"/>
        <w:jc w:val="both"/>
        <w:rPr>
          <w:rFonts w:ascii="Arial" w:hAnsi="Arial"/>
          <w:szCs w:val="20"/>
        </w:rPr>
      </w:pPr>
    </w:p>
    <w:p w14:paraId="79FA3355" w14:textId="77777777" w:rsidR="00170C17" w:rsidRDefault="00170C17" w:rsidP="00644C14">
      <w:pPr>
        <w:ind w:left="709"/>
        <w:jc w:val="both"/>
        <w:rPr>
          <w:rFonts w:ascii="Arial" w:hAnsi="Arial"/>
          <w:szCs w:val="20"/>
        </w:rPr>
      </w:pPr>
    </w:p>
    <w:p w14:paraId="416225EC" w14:textId="77777777" w:rsidR="00170C17" w:rsidRDefault="00170C17" w:rsidP="00644C14">
      <w:pPr>
        <w:ind w:left="709"/>
        <w:jc w:val="both"/>
        <w:rPr>
          <w:rFonts w:ascii="Arial" w:hAnsi="Arial"/>
          <w:szCs w:val="20"/>
        </w:rPr>
      </w:pPr>
    </w:p>
    <w:p w14:paraId="68EAA13F" w14:textId="77777777" w:rsidR="00170C17" w:rsidRDefault="00170C17" w:rsidP="00644C14">
      <w:pPr>
        <w:ind w:left="709"/>
        <w:jc w:val="both"/>
        <w:rPr>
          <w:rFonts w:ascii="Arial" w:hAnsi="Arial"/>
          <w:szCs w:val="20"/>
        </w:rPr>
      </w:pPr>
    </w:p>
    <w:p w14:paraId="359807C2" w14:textId="77777777" w:rsidR="00170C17" w:rsidRDefault="00170C17" w:rsidP="00644C14">
      <w:pPr>
        <w:ind w:left="709"/>
        <w:jc w:val="both"/>
        <w:rPr>
          <w:rFonts w:ascii="Arial" w:hAnsi="Arial"/>
          <w:szCs w:val="20"/>
        </w:rPr>
      </w:pPr>
    </w:p>
    <w:p w14:paraId="12504126" w14:textId="77777777" w:rsidR="00170C17" w:rsidRDefault="00170C17" w:rsidP="00644C14">
      <w:pPr>
        <w:ind w:left="709"/>
        <w:jc w:val="both"/>
        <w:rPr>
          <w:rFonts w:ascii="Arial" w:hAnsi="Arial"/>
          <w:szCs w:val="20"/>
        </w:rPr>
      </w:pPr>
    </w:p>
    <w:p w14:paraId="5BA58980" w14:textId="461442B7" w:rsidR="009B3F86" w:rsidRDefault="009B3F86" w:rsidP="002F5D49">
      <w:pPr>
        <w:numPr>
          <w:ilvl w:val="0"/>
          <w:numId w:val="8"/>
        </w:numPr>
        <w:tabs>
          <w:tab w:val="clear" w:pos="927"/>
          <w:tab w:val="num" w:pos="709"/>
        </w:tabs>
        <w:ind w:left="709" w:hanging="709"/>
        <w:jc w:val="both"/>
        <w:rPr>
          <w:rFonts w:ascii="Arial" w:hAnsi="Arial"/>
          <w:szCs w:val="20"/>
        </w:rPr>
      </w:pPr>
      <w:r>
        <w:rPr>
          <w:rFonts w:ascii="Arial" w:hAnsi="Arial"/>
          <w:szCs w:val="20"/>
        </w:rPr>
        <w:t xml:space="preserve">Further analysis of National Government data for 2019/20 reports the category of first need as </w:t>
      </w:r>
      <w:r w:rsidR="002F5D49" w:rsidRPr="002F5D49">
        <w:rPr>
          <w:rFonts w:ascii="Arial" w:hAnsi="Arial"/>
          <w:szCs w:val="20"/>
        </w:rPr>
        <w:t>Speech Language and Communicati</w:t>
      </w:r>
      <w:r w:rsidR="002F5D49">
        <w:rPr>
          <w:rFonts w:ascii="Arial" w:hAnsi="Arial"/>
          <w:szCs w:val="20"/>
        </w:rPr>
        <w:t>on needs (SLC)</w:t>
      </w:r>
      <w:r>
        <w:rPr>
          <w:rFonts w:ascii="Arial" w:hAnsi="Arial"/>
          <w:szCs w:val="20"/>
        </w:rPr>
        <w:t xml:space="preserve"> on school census </w:t>
      </w:r>
      <w:r w:rsidR="002F5D49">
        <w:rPr>
          <w:rFonts w:ascii="Arial" w:hAnsi="Arial"/>
          <w:szCs w:val="20"/>
        </w:rPr>
        <w:t xml:space="preserve">as the highest number of EHCPs </w:t>
      </w:r>
      <w:r>
        <w:rPr>
          <w:rFonts w:ascii="Arial" w:hAnsi="Arial"/>
          <w:szCs w:val="20"/>
        </w:rPr>
        <w:t xml:space="preserve">in </w:t>
      </w:r>
      <w:r w:rsidR="002F5D49">
        <w:rPr>
          <w:rFonts w:ascii="Arial" w:hAnsi="Arial"/>
          <w:szCs w:val="20"/>
        </w:rPr>
        <w:t xml:space="preserve">Merton as </w:t>
      </w:r>
      <w:r>
        <w:rPr>
          <w:rFonts w:ascii="Arial" w:hAnsi="Arial"/>
          <w:szCs w:val="20"/>
        </w:rPr>
        <w:t>table 6 below</w:t>
      </w:r>
      <w:r w:rsidR="002F5D49">
        <w:rPr>
          <w:rFonts w:ascii="Arial" w:hAnsi="Arial"/>
          <w:szCs w:val="20"/>
        </w:rPr>
        <w:t xml:space="preserve"> </w:t>
      </w:r>
      <w:r>
        <w:rPr>
          <w:rFonts w:ascii="Arial" w:hAnsi="Arial"/>
          <w:szCs w:val="20"/>
        </w:rPr>
        <w:t xml:space="preserve">and </w:t>
      </w:r>
      <w:r w:rsidRPr="009B3F86">
        <w:rPr>
          <w:rFonts w:ascii="Arial" w:hAnsi="Arial"/>
          <w:szCs w:val="20"/>
        </w:rPr>
        <w:t>Autistic Spectrum Disorder (ASD)</w:t>
      </w:r>
      <w:r w:rsidR="002F5D49">
        <w:rPr>
          <w:rFonts w:ascii="Arial" w:hAnsi="Arial"/>
          <w:szCs w:val="20"/>
        </w:rPr>
        <w:t xml:space="preserve"> as the second recorded level of need:</w:t>
      </w:r>
    </w:p>
    <w:p w14:paraId="2AD7401D" w14:textId="3AD9EAB2" w:rsidR="009B3F86" w:rsidRDefault="009B3F86" w:rsidP="009B3F86">
      <w:pPr>
        <w:pStyle w:val="ListParagraph"/>
        <w:rPr>
          <w:rFonts w:ascii="Arial" w:hAnsi="Arial"/>
          <w:szCs w:val="20"/>
        </w:rPr>
      </w:pPr>
    </w:p>
    <w:p w14:paraId="22CFAA4B" w14:textId="029BD85A" w:rsidR="009B3F86" w:rsidRDefault="009B3F86" w:rsidP="009B3F86">
      <w:pPr>
        <w:ind w:left="720"/>
        <w:jc w:val="both"/>
        <w:rPr>
          <w:rFonts w:ascii="Arial" w:hAnsi="Arial"/>
          <w:szCs w:val="20"/>
        </w:rPr>
      </w:pPr>
      <w:r w:rsidRPr="009B3F86">
        <w:rPr>
          <w:noProof/>
          <w:lang w:eastAsia="en-GB"/>
        </w:rPr>
        <w:drawing>
          <wp:anchor distT="0" distB="0" distL="114300" distR="114300" simplePos="0" relativeHeight="251662336" behindDoc="0" locked="0" layoutInCell="1" allowOverlap="1" wp14:anchorId="008EA7C7" wp14:editId="7E1DBDB9">
            <wp:simplePos x="0" y="0"/>
            <wp:positionH relativeFrom="column">
              <wp:posOffset>-322203</wp:posOffset>
            </wp:positionH>
            <wp:positionV relativeFrom="paragraph">
              <wp:posOffset>259161</wp:posOffset>
            </wp:positionV>
            <wp:extent cx="6776720" cy="1747520"/>
            <wp:effectExtent l="0" t="0" r="508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76720"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2FDD0" w14:textId="130DC71C" w:rsidR="00D40974" w:rsidRDefault="00D40974" w:rsidP="00D40974">
      <w:pPr>
        <w:ind w:left="720"/>
        <w:jc w:val="both"/>
        <w:rPr>
          <w:rFonts w:ascii="Arial" w:hAnsi="Arial"/>
          <w:szCs w:val="20"/>
        </w:rPr>
      </w:pPr>
    </w:p>
    <w:p w14:paraId="238ED537" w14:textId="7344EF20" w:rsidR="006D4054" w:rsidRDefault="003C33A0"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lastRenderedPageBreak/>
        <w:t xml:space="preserve">Merton has </w:t>
      </w:r>
      <w:r w:rsidR="00A90509" w:rsidRPr="00420DD5">
        <w:rPr>
          <w:rFonts w:ascii="Arial" w:hAnsi="Arial"/>
          <w:szCs w:val="20"/>
        </w:rPr>
        <w:t>moved £6</w:t>
      </w:r>
      <w:r w:rsidR="006209BC">
        <w:rPr>
          <w:rFonts w:ascii="Arial" w:hAnsi="Arial"/>
          <w:szCs w:val="20"/>
        </w:rPr>
        <w:t>56</w:t>
      </w:r>
      <w:r w:rsidRPr="00420DD5">
        <w:rPr>
          <w:rFonts w:ascii="Arial" w:hAnsi="Arial"/>
          <w:szCs w:val="20"/>
        </w:rPr>
        <w:t xml:space="preserve">k from the schools block </w:t>
      </w:r>
      <w:r w:rsidR="002D49FF" w:rsidRPr="00420DD5">
        <w:rPr>
          <w:rFonts w:ascii="Arial" w:hAnsi="Arial"/>
          <w:szCs w:val="20"/>
        </w:rPr>
        <w:t>to the high nee</w:t>
      </w:r>
      <w:r w:rsidR="006209BC">
        <w:rPr>
          <w:rFonts w:ascii="Arial" w:hAnsi="Arial"/>
          <w:szCs w:val="20"/>
        </w:rPr>
        <w:t>ds block for 2021</w:t>
      </w:r>
      <w:r w:rsidR="00A90509" w:rsidRPr="00420DD5">
        <w:rPr>
          <w:rFonts w:ascii="Arial" w:hAnsi="Arial"/>
          <w:szCs w:val="20"/>
        </w:rPr>
        <w:t>/2</w:t>
      </w:r>
      <w:r w:rsidR="006209BC">
        <w:rPr>
          <w:rFonts w:ascii="Arial" w:hAnsi="Arial"/>
          <w:szCs w:val="20"/>
        </w:rPr>
        <w:t>2</w:t>
      </w:r>
      <w:r w:rsidRPr="00420DD5">
        <w:rPr>
          <w:rFonts w:ascii="Arial" w:hAnsi="Arial"/>
          <w:szCs w:val="20"/>
        </w:rPr>
        <w:t xml:space="preserve"> to provide support for thi</w:t>
      </w:r>
      <w:r w:rsidR="00A90509" w:rsidRPr="00420DD5">
        <w:rPr>
          <w:rFonts w:ascii="Arial" w:hAnsi="Arial"/>
          <w:szCs w:val="20"/>
        </w:rPr>
        <w:t>s increase</w:t>
      </w:r>
      <w:r w:rsidR="002A5533">
        <w:rPr>
          <w:rFonts w:ascii="Arial" w:hAnsi="Arial"/>
          <w:szCs w:val="20"/>
        </w:rPr>
        <w:t xml:space="preserve"> and this was approved by School Forum. </w:t>
      </w:r>
      <w:r w:rsidR="00A90509" w:rsidRPr="00420DD5">
        <w:rPr>
          <w:rFonts w:ascii="Arial" w:hAnsi="Arial"/>
          <w:szCs w:val="20"/>
        </w:rPr>
        <w:t>This represents 0.49</w:t>
      </w:r>
      <w:r w:rsidRPr="00420DD5">
        <w:rPr>
          <w:rFonts w:ascii="Arial" w:hAnsi="Arial"/>
          <w:szCs w:val="20"/>
        </w:rPr>
        <w:t xml:space="preserve">% of the maximum allowable 0.5% above which </w:t>
      </w:r>
      <w:r w:rsidR="00A610B3">
        <w:rPr>
          <w:rFonts w:ascii="Arial" w:hAnsi="Arial"/>
          <w:szCs w:val="20"/>
        </w:rPr>
        <w:t xml:space="preserve">Secretary of State </w:t>
      </w:r>
      <w:r w:rsidR="00A610B3" w:rsidRPr="00420DD5">
        <w:rPr>
          <w:rFonts w:ascii="Arial" w:hAnsi="Arial"/>
          <w:szCs w:val="20"/>
        </w:rPr>
        <w:t>Approval</w:t>
      </w:r>
      <w:r w:rsidRPr="00420DD5">
        <w:rPr>
          <w:rFonts w:ascii="Arial" w:hAnsi="Arial"/>
          <w:szCs w:val="20"/>
        </w:rPr>
        <w:t xml:space="preserve"> is required.</w:t>
      </w:r>
      <w:r w:rsidR="00924EB9">
        <w:rPr>
          <w:rFonts w:ascii="Arial" w:hAnsi="Arial"/>
          <w:szCs w:val="20"/>
        </w:rPr>
        <w:t xml:space="preserve"> Any other movement of funding between DSG blocks has to be approve</w:t>
      </w:r>
      <w:r w:rsidR="00644C14">
        <w:rPr>
          <w:rFonts w:ascii="Arial" w:hAnsi="Arial"/>
          <w:szCs w:val="20"/>
        </w:rPr>
        <w:t>d by School Forum, then approved</w:t>
      </w:r>
      <w:r w:rsidR="00924EB9">
        <w:rPr>
          <w:rFonts w:ascii="Arial" w:hAnsi="Arial"/>
          <w:szCs w:val="20"/>
        </w:rPr>
        <w:t xml:space="preserve"> by the Secretary of State.</w:t>
      </w:r>
    </w:p>
    <w:p w14:paraId="27BB48C0" w14:textId="77777777" w:rsidR="00794AD2" w:rsidRDefault="00794AD2" w:rsidP="00794AD2">
      <w:pPr>
        <w:ind w:left="720"/>
        <w:jc w:val="both"/>
        <w:rPr>
          <w:rFonts w:ascii="Arial" w:hAnsi="Arial"/>
          <w:szCs w:val="20"/>
        </w:rPr>
      </w:pPr>
    </w:p>
    <w:p w14:paraId="39966976" w14:textId="46A4F314" w:rsidR="00C1519A" w:rsidRDefault="00794AD2" w:rsidP="00004311">
      <w:pPr>
        <w:numPr>
          <w:ilvl w:val="0"/>
          <w:numId w:val="8"/>
        </w:numPr>
        <w:tabs>
          <w:tab w:val="clear" w:pos="927"/>
          <w:tab w:val="num" w:pos="720"/>
        </w:tabs>
        <w:ind w:left="720" w:hanging="720"/>
        <w:jc w:val="both"/>
        <w:rPr>
          <w:rFonts w:ascii="Arial" w:hAnsi="Arial"/>
          <w:szCs w:val="20"/>
        </w:rPr>
      </w:pPr>
      <w:r w:rsidRPr="003115BC">
        <w:rPr>
          <w:rFonts w:ascii="Arial" w:hAnsi="Arial"/>
          <w:szCs w:val="20"/>
        </w:rPr>
        <w:t>The reported DSG deficit is a `</w:t>
      </w:r>
      <w:r w:rsidR="002A5533" w:rsidRPr="003115BC">
        <w:rPr>
          <w:rFonts w:ascii="Arial" w:hAnsi="Arial"/>
          <w:szCs w:val="20"/>
        </w:rPr>
        <w:t xml:space="preserve">net </w:t>
      </w:r>
      <w:r w:rsidRPr="003115BC">
        <w:rPr>
          <w:rFonts w:ascii="Arial" w:hAnsi="Arial"/>
          <w:szCs w:val="20"/>
        </w:rPr>
        <w:t>total’ of all four blocks of the DSG, and each block is monitored separately for audit purposes</w:t>
      </w:r>
      <w:r w:rsidR="003115BC">
        <w:rPr>
          <w:rFonts w:ascii="Arial" w:hAnsi="Arial"/>
          <w:szCs w:val="20"/>
        </w:rPr>
        <w:t>.  The net DSG outturn will be reported as an unusable</w:t>
      </w:r>
      <w:r w:rsidR="0001074A">
        <w:rPr>
          <w:rFonts w:ascii="Arial" w:hAnsi="Arial"/>
          <w:szCs w:val="20"/>
        </w:rPr>
        <w:t xml:space="preserve"> reserve within the financial accounts.</w:t>
      </w:r>
    </w:p>
    <w:p w14:paraId="566E178B" w14:textId="77777777" w:rsidR="003115BC" w:rsidRDefault="003115BC" w:rsidP="003115BC">
      <w:pPr>
        <w:pStyle w:val="ListParagraph"/>
        <w:rPr>
          <w:rFonts w:ascii="Arial" w:hAnsi="Arial"/>
          <w:szCs w:val="20"/>
        </w:rPr>
      </w:pPr>
    </w:p>
    <w:p w14:paraId="5A589C79" w14:textId="351BB78D" w:rsidR="00845D6B" w:rsidRDefault="00E3150F"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Merton has not requested</w:t>
      </w:r>
      <w:r w:rsidR="003C33A0" w:rsidRPr="00420DD5">
        <w:rPr>
          <w:rFonts w:ascii="Arial" w:hAnsi="Arial"/>
          <w:szCs w:val="20"/>
        </w:rPr>
        <w:t xml:space="preserve"> a higher amount to be transfer</w:t>
      </w:r>
      <w:r w:rsidR="00A90509" w:rsidRPr="00420DD5">
        <w:rPr>
          <w:rFonts w:ascii="Arial" w:hAnsi="Arial"/>
          <w:szCs w:val="20"/>
        </w:rPr>
        <w:t xml:space="preserve">red as </w:t>
      </w:r>
      <w:r w:rsidR="003C33A0" w:rsidRPr="00420DD5">
        <w:rPr>
          <w:rFonts w:ascii="Arial" w:hAnsi="Arial"/>
          <w:szCs w:val="20"/>
        </w:rPr>
        <w:t>schools are also struggling</w:t>
      </w:r>
      <w:r w:rsidRPr="00420DD5">
        <w:rPr>
          <w:rFonts w:ascii="Arial" w:hAnsi="Arial"/>
          <w:szCs w:val="20"/>
        </w:rPr>
        <w:t>. This</w:t>
      </w:r>
      <w:r w:rsidR="003C33A0" w:rsidRPr="00420DD5">
        <w:rPr>
          <w:rFonts w:ascii="Arial" w:hAnsi="Arial"/>
          <w:szCs w:val="20"/>
        </w:rPr>
        <w:t xml:space="preserve"> </w:t>
      </w:r>
      <w:r w:rsidR="00570446" w:rsidRPr="00420DD5">
        <w:rPr>
          <w:rFonts w:ascii="Arial" w:hAnsi="Arial"/>
          <w:szCs w:val="20"/>
        </w:rPr>
        <w:t>wa</w:t>
      </w:r>
      <w:r w:rsidR="003C33A0" w:rsidRPr="00420DD5">
        <w:rPr>
          <w:rFonts w:ascii="Arial" w:hAnsi="Arial"/>
          <w:szCs w:val="20"/>
        </w:rPr>
        <w:t xml:space="preserve">s evident in the </w:t>
      </w:r>
      <w:r w:rsidR="00A90509" w:rsidRPr="00420DD5">
        <w:rPr>
          <w:rFonts w:ascii="Arial" w:hAnsi="Arial"/>
          <w:szCs w:val="20"/>
        </w:rPr>
        <w:t>number of schools requesting to set deficit budgets</w:t>
      </w:r>
      <w:r w:rsidR="00A610B3">
        <w:rPr>
          <w:rFonts w:ascii="Arial" w:hAnsi="Arial"/>
          <w:szCs w:val="20"/>
        </w:rPr>
        <w:t xml:space="preserve"> for 2021</w:t>
      </w:r>
      <w:r w:rsidR="00570446" w:rsidRPr="00420DD5">
        <w:rPr>
          <w:rFonts w:ascii="Arial" w:hAnsi="Arial"/>
          <w:szCs w:val="20"/>
        </w:rPr>
        <w:t>/</w:t>
      </w:r>
      <w:r w:rsidR="00420DD5" w:rsidRPr="00420DD5">
        <w:rPr>
          <w:rFonts w:ascii="Arial" w:hAnsi="Arial"/>
          <w:szCs w:val="20"/>
        </w:rPr>
        <w:t>2</w:t>
      </w:r>
      <w:r w:rsidR="00A610B3">
        <w:rPr>
          <w:rFonts w:ascii="Arial" w:hAnsi="Arial"/>
          <w:szCs w:val="20"/>
        </w:rPr>
        <w:t>2</w:t>
      </w:r>
      <w:r w:rsidR="006209BC">
        <w:rPr>
          <w:rFonts w:ascii="Arial" w:hAnsi="Arial"/>
          <w:szCs w:val="20"/>
        </w:rPr>
        <w:t xml:space="preserve"> of </w:t>
      </w:r>
      <w:r w:rsidR="00644C14">
        <w:rPr>
          <w:rFonts w:ascii="Arial" w:hAnsi="Arial"/>
          <w:szCs w:val="20"/>
        </w:rPr>
        <w:t>11</w:t>
      </w:r>
      <w:r w:rsidR="006209BC">
        <w:rPr>
          <w:rFonts w:ascii="Arial" w:hAnsi="Arial"/>
          <w:szCs w:val="20"/>
        </w:rPr>
        <w:t xml:space="preserve"> schools.</w:t>
      </w:r>
    </w:p>
    <w:p w14:paraId="58CBABEC" w14:textId="77777777" w:rsidR="002A5533" w:rsidRDefault="002A5533" w:rsidP="002A5533">
      <w:pPr>
        <w:pStyle w:val="ListParagraph"/>
        <w:rPr>
          <w:rFonts w:ascii="Arial" w:hAnsi="Arial"/>
          <w:szCs w:val="20"/>
        </w:rPr>
      </w:pPr>
    </w:p>
    <w:p w14:paraId="1477A82C" w14:textId="5FDF30CC" w:rsidR="003C33A0" w:rsidRDefault="002A5533" w:rsidP="00BD7367">
      <w:pPr>
        <w:numPr>
          <w:ilvl w:val="0"/>
          <w:numId w:val="8"/>
        </w:numPr>
        <w:tabs>
          <w:tab w:val="clear" w:pos="927"/>
          <w:tab w:val="num" w:pos="720"/>
        </w:tabs>
        <w:ind w:left="720" w:hanging="720"/>
        <w:jc w:val="both"/>
        <w:rPr>
          <w:rFonts w:ascii="Arial" w:hAnsi="Arial"/>
          <w:szCs w:val="20"/>
        </w:rPr>
      </w:pPr>
      <w:r w:rsidRPr="002A5533">
        <w:rPr>
          <w:rFonts w:ascii="Arial" w:hAnsi="Arial"/>
          <w:szCs w:val="20"/>
        </w:rPr>
        <w:t xml:space="preserve">School balances have increased </w:t>
      </w:r>
      <w:r w:rsidR="00784BCB">
        <w:rPr>
          <w:rFonts w:ascii="Arial" w:hAnsi="Arial"/>
          <w:szCs w:val="20"/>
        </w:rPr>
        <w:t xml:space="preserve">£2.892m </w:t>
      </w:r>
      <w:r w:rsidRPr="002A5533">
        <w:rPr>
          <w:rFonts w:ascii="Arial" w:hAnsi="Arial"/>
          <w:szCs w:val="20"/>
        </w:rPr>
        <w:t>due to COVID-19 and the semi-</w:t>
      </w:r>
      <w:r>
        <w:rPr>
          <w:rFonts w:ascii="Arial" w:hAnsi="Arial"/>
          <w:szCs w:val="20"/>
        </w:rPr>
        <w:t>closure of schools during the lock down periods.  This year has been an unprecedented year and table 7 below details the movement of school balances, as reported within the financial accounts.</w:t>
      </w:r>
    </w:p>
    <w:p w14:paraId="6207C7A6" w14:textId="7CF1C726" w:rsidR="00784BCB" w:rsidRDefault="00784BCB" w:rsidP="00784BCB">
      <w:pPr>
        <w:pStyle w:val="ListParagraph"/>
        <w:rPr>
          <w:rFonts w:ascii="Arial" w:hAnsi="Arial"/>
          <w:szCs w:val="20"/>
        </w:rPr>
      </w:pPr>
      <w:r w:rsidRPr="00784BCB">
        <w:rPr>
          <w:noProof/>
          <w:lang w:eastAsia="en-GB"/>
        </w:rPr>
        <w:drawing>
          <wp:anchor distT="0" distB="0" distL="114300" distR="114300" simplePos="0" relativeHeight="251665408" behindDoc="0" locked="0" layoutInCell="1" allowOverlap="1" wp14:anchorId="27BFF7B2" wp14:editId="13C58E56">
            <wp:simplePos x="0" y="0"/>
            <wp:positionH relativeFrom="column">
              <wp:posOffset>591820</wp:posOffset>
            </wp:positionH>
            <wp:positionV relativeFrom="paragraph">
              <wp:posOffset>176530</wp:posOffset>
            </wp:positionV>
            <wp:extent cx="4921250" cy="14281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1250" cy="1428115"/>
                    </a:xfrm>
                    <a:prstGeom prst="rect">
                      <a:avLst/>
                    </a:prstGeom>
                    <a:noFill/>
                    <a:ln>
                      <a:noFill/>
                    </a:ln>
                  </pic:spPr>
                </pic:pic>
              </a:graphicData>
            </a:graphic>
            <wp14:sizeRelH relativeFrom="margin">
              <wp14:pctWidth>0</wp14:pctWidth>
            </wp14:sizeRelH>
          </wp:anchor>
        </w:drawing>
      </w:r>
    </w:p>
    <w:p w14:paraId="0949A60D" w14:textId="33FFF1F3" w:rsidR="00784BCB" w:rsidRDefault="00784BCB" w:rsidP="00784BCB">
      <w:pPr>
        <w:ind w:left="720"/>
        <w:jc w:val="both"/>
        <w:rPr>
          <w:rFonts w:ascii="Arial" w:hAnsi="Arial"/>
          <w:szCs w:val="20"/>
        </w:rPr>
      </w:pPr>
    </w:p>
    <w:p w14:paraId="366004A2" w14:textId="074E2FFE" w:rsidR="002A5533" w:rsidRDefault="002A5533" w:rsidP="002A5533">
      <w:pPr>
        <w:pStyle w:val="ListParagraph"/>
        <w:rPr>
          <w:rFonts w:ascii="Arial" w:hAnsi="Arial"/>
          <w:szCs w:val="20"/>
        </w:rPr>
      </w:pPr>
    </w:p>
    <w:p w14:paraId="5D93E835" w14:textId="57E510A6" w:rsidR="00784BCB" w:rsidRDefault="00784BCB" w:rsidP="002A5533">
      <w:pPr>
        <w:pStyle w:val="ListParagraph"/>
        <w:rPr>
          <w:rFonts w:ascii="Arial" w:hAnsi="Arial"/>
          <w:szCs w:val="20"/>
        </w:rPr>
      </w:pPr>
    </w:p>
    <w:p w14:paraId="09BC86ED" w14:textId="36876F63" w:rsidR="00784BCB" w:rsidRDefault="00784BCB" w:rsidP="002A5533">
      <w:pPr>
        <w:pStyle w:val="ListParagraph"/>
        <w:rPr>
          <w:rFonts w:ascii="Arial" w:hAnsi="Arial"/>
          <w:szCs w:val="20"/>
        </w:rPr>
      </w:pPr>
    </w:p>
    <w:p w14:paraId="04C909DA" w14:textId="1FFE17F4" w:rsidR="00784BCB" w:rsidRDefault="00784BCB" w:rsidP="002A5533">
      <w:pPr>
        <w:pStyle w:val="ListParagraph"/>
        <w:rPr>
          <w:rFonts w:ascii="Arial" w:hAnsi="Arial"/>
          <w:szCs w:val="20"/>
        </w:rPr>
      </w:pPr>
    </w:p>
    <w:p w14:paraId="71E9A9E7" w14:textId="2A245C34" w:rsidR="00784BCB" w:rsidRDefault="00784BCB" w:rsidP="002A5533">
      <w:pPr>
        <w:pStyle w:val="ListParagraph"/>
        <w:rPr>
          <w:rFonts w:ascii="Arial" w:hAnsi="Arial"/>
          <w:szCs w:val="20"/>
        </w:rPr>
      </w:pPr>
    </w:p>
    <w:p w14:paraId="4FF1FEE5" w14:textId="0C391B96" w:rsidR="00784BCB" w:rsidRDefault="00784BCB" w:rsidP="002A5533">
      <w:pPr>
        <w:pStyle w:val="ListParagraph"/>
        <w:rPr>
          <w:rFonts w:ascii="Arial" w:hAnsi="Arial"/>
          <w:szCs w:val="20"/>
        </w:rPr>
      </w:pPr>
    </w:p>
    <w:p w14:paraId="05E3F03C" w14:textId="195A9A9D" w:rsidR="00784BCB" w:rsidRDefault="00784BCB" w:rsidP="002A5533">
      <w:pPr>
        <w:pStyle w:val="ListParagraph"/>
        <w:rPr>
          <w:rFonts w:ascii="Arial" w:hAnsi="Arial"/>
          <w:szCs w:val="20"/>
        </w:rPr>
      </w:pPr>
    </w:p>
    <w:p w14:paraId="43EA2757" w14:textId="77777777" w:rsidR="00784BCB" w:rsidRDefault="00784BCB" w:rsidP="002A5533">
      <w:pPr>
        <w:pStyle w:val="ListParagraph"/>
        <w:rPr>
          <w:rFonts w:ascii="Arial" w:hAnsi="Arial"/>
          <w:szCs w:val="20"/>
        </w:rPr>
      </w:pPr>
    </w:p>
    <w:p w14:paraId="4D7B6E22" w14:textId="3D3DCD5B" w:rsidR="003C33A0" w:rsidRPr="00420DD5" w:rsidRDefault="00420DD5"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T</w:t>
      </w:r>
      <w:r w:rsidR="00A90509" w:rsidRPr="00420DD5">
        <w:rPr>
          <w:rFonts w:ascii="Arial" w:hAnsi="Arial"/>
          <w:szCs w:val="20"/>
        </w:rPr>
        <w:t xml:space="preserve">he current </w:t>
      </w:r>
      <w:r w:rsidR="00794AD2">
        <w:rPr>
          <w:rFonts w:ascii="Arial" w:hAnsi="Arial"/>
          <w:szCs w:val="20"/>
        </w:rPr>
        <w:t>in-</w:t>
      </w:r>
      <w:r w:rsidR="00A90509" w:rsidRPr="00420DD5">
        <w:rPr>
          <w:rFonts w:ascii="Arial" w:hAnsi="Arial"/>
          <w:szCs w:val="20"/>
        </w:rPr>
        <w:t>year deficit</w:t>
      </w:r>
      <w:r w:rsidR="004E2A4A" w:rsidRPr="00420DD5">
        <w:rPr>
          <w:rFonts w:ascii="Arial" w:hAnsi="Arial"/>
          <w:szCs w:val="20"/>
        </w:rPr>
        <w:t xml:space="preserve"> will</w:t>
      </w:r>
      <w:r w:rsidR="006209BC">
        <w:rPr>
          <w:rFonts w:ascii="Arial" w:hAnsi="Arial"/>
          <w:szCs w:val="20"/>
        </w:rPr>
        <w:t xml:space="preserve"> increase</w:t>
      </w:r>
      <w:r w:rsidR="004E2A4A" w:rsidRPr="00420DD5">
        <w:rPr>
          <w:rFonts w:ascii="Arial" w:hAnsi="Arial"/>
          <w:szCs w:val="20"/>
        </w:rPr>
        <w:t xml:space="preserve"> the DSG reserves into a negative position.</w:t>
      </w:r>
      <w:r w:rsidR="003C33A0" w:rsidRPr="00420DD5">
        <w:rPr>
          <w:rFonts w:ascii="Arial" w:hAnsi="Arial"/>
          <w:szCs w:val="20"/>
        </w:rPr>
        <w:t xml:space="preserve"> </w:t>
      </w:r>
      <w:r w:rsidR="00A90509" w:rsidRPr="00420DD5">
        <w:rPr>
          <w:rFonts w:ascii="Arial" w:hAnsi="Arial"/>
          <w:szCs w:val="20"/>
        </w:rPr>
        <w:t xml:space="preserve">Due to the size of the deficit Merton </w:t>
      </w:r>
      <w:r w:rsidR="006209BC">
        <w:rPr>
          <w:rFonts w:ascii="Arial" w:hAnsi="Arial"/>
          <w:szCs w:val="20"/>
        </w:rPr>
        <w:t xml:space="preserve">has already met with representatives from the </w:t>
      </w:r>
      <w:r w:rsidR="00A90509" w:rsidRPr="00420DD5">
        <w:rPr>
          <w:rFonts w:ascii="Arial" w:hAnsi="Arial"/>
          <w:szCs w:val="20"/>
        </w:rPr>
        <w:t>ESFA</w:t>
      </w:r>
      <w:r w:rsidR="009F7BE8" w:rsidRPr="00420DD5">
        <w:rPr>
          <w:rFonts w:ascii="Arial" w:hAnsi="Arial"/>
          <w:szCs w:val="20"/>
        </w:rPr>
        <w:t xml:space="preserve"> </w:t>
      </w:r>
      <w:r w:rsidR="006209BC">
        <w:rPr>
          <w:rFonts w:ascii="Arial" w:hAnsi="Arial"/>
          <w:szCs w:val="20"/>
        </w:rPr>
        <w:t>and has to produce a DSG Deficit Recovery Plan</w:t>
      </w:r>
      <w:r w:rsidR="004E42C3">
        <w:rPr>
          <w:rFonts w:ascii="Arial" w:hAnsi="Arial"/>
          <w:szCs w:val="20"/>
        </w:rPr>
        <w:t xml:space="preserve"> by </w:t>
      </w:r>
      <w:r w:rsidR="00784BCB">
        <w:rPr>
          <w:rFonts w:ascii="Arial" w:hAnsi="Arial"/>
          <w:szCs w:val="20"/>
        </w:rPr>
        <w:t>mid July 2021</w:t>
      </w:r>
      <w:r w:rsidR="004E42C3">
        <w:rPr>
          <w:rFonts w:ascii="Arial" w:hAnsi="Arial"/>
          <w:szCs w:val="20"/>
        </w:rPr>
        <w:t>.</w:t>
      </w:r>
    </w:p>
    <w:p w14:paraId="133CF981" w14:textId="77777777" w:rsidR="000E1F3C" w:rsidRPr="00420DD5" w:rsidRDefault="000E1F3C" w:rsidP="00CA1E66">
      <w:pPr>
        <w:pStyle w:val="ListParagraph"/>
        <w:jc w:val="both"/>
        <w:rPr>
          <w:rFonts w:ascii="Arial" w:hAnsi="Arial"/>
          <w:szCs w:val="20"/>
          <w:highlight w:val="yellow"/>
        </w:rPr>
      </w:pPr>
    </w:p>
    <w:p w14:paraId="253C739A" w14:textId="77777777" w:rsidR="000E1F3C" w:rsidRPr="0003678F" w:rsidRDefault="000E1F3C" w:rsidP="00CA1E66">
      <w:pPr>
        <w:numPr>
          <w:ilvl w:val="0"/>
          <w:numId w:val="8"/>
        </w:numPr>
        <w:tabs>
          <w:tab w:val="clear" w:pos="927"/>
          <w:tab w:val="num" w:pos="720"/>
        </w:tabs>
        <w:ind w:left="720" w:hanging="720"/>
        <w:jc w:val="both"/>
        <w:rPr>
          <w:rFonts w:ascii="Arial" w:hAnsi="Arial"/>
          <w:szCs w:val="20"/>
        </w:rPr>
      </w:pPr>
      <w:r w:rsidRPr="0003678F">
        <w:rPr>
          <w:rFonts w:ascii="Arial" w:hAnsi="Arial"/>
          <w:szCs w:val="20"/>
        </w:rPr>
        <w:t>There are already some councils in this position and the directors of Children, Schools and Families as well as Corporate Services both continue to work with their professional counterparts to lobby nationally for government to address the pressures.</w:t>
      </w:r>
    </w:p>
    <w:p w14:paraId="1B2B9518" w14:textId="77777777" w:rsidR="00570446" w:rsidRPr="00420DD5" w:rsidRDefault="00570446" w:rsidP="00CA1E66">
      <w:pPr>
        <w:pStyle w:val="ListParagraph"/>
        <w:jc w:val="both"/>
        <w:rPr>
          <w:rFonts w:ascii="Arial" w:hAnsi="Arial"/>
          <w:szCs w:val="20"/>
          <w:highlight w:val="yellow"/>
        </w:rPr>
      </w:pPr>
    </w:p>
    <w:p w14:paraId="72036B65" w14:textId="77777777" w:rsidR="00570446" w:rsidRPr="0003678F" w:rsidRDefault="00570446" w:rsidP="00CA1E66">
      <w:pPr>
        <w:numPr>
          <w:ilvl w:val="0"/>
          <w:numId w:val="8"/>
        </w:numPr>
        <w:tabs>
          <w:tab w:val="clear" w:pos="927"/>
          <w:tab w:val="num" w:pos="709"/>
        </w:tabs>
        <w:ind w:left="709" w:hanging="709"/>
        <w:jc w:val="both"/>
        <w:rPr>
          <w:rFonts w:ascii="Arial" w:hAnsi="Arial"/>
          <w:szCs w:val="20"/>
        </w:rPr>
      </w:pPr>
      <w:r w:rsidRPr="0003678F">
        <w:rPr>
          <w:rFonts w:ascii="Arial" w:hAnsi="Arial"/>
          <w:szCs w:val="20"/>
        </w:rPr>
        <w:t>We have also been working closely with other south west London authorities to identify value for money practice and joint c</w:t>
      </w:r>
      <w:r w:rsidR="00C51C77" w:rsidRPr="0003678F">
        <w:rPr>
          <w:rFonts w:ascii="Arial" w:hAnsi="Arial"/>
          <w:szCs w:val="20"/>
        </w:rPr>
        <w:t>ommissioning initiatives aimed at reducing</w:t>
      </w:r>
      <w:r w:rsidRPr="0003678F">
        <w:rPr>
          <w:rFonts w:ascii="Arial" w:hAnsi="Arial"/>
          <w:szCs w:val="20"/>
        </w:rPr>
        <w:t xml:space="preserve"> costs.</w:t>
      </w:r>
    </w:p>
    <w:p w14:paraId="083BEBF2" w14:textId="48777870" w:rsidR="00580DE7" w:rsidRDefault="00580DE7" w:rsidP="00C1519A">
      <w:pPr>
        <w:rPr>
          <w:rFonts w:ascii="Arial" w:hAnsi="Arial"/>
          <w:szCs w:val="20"/>
        </w:rPr>
      </w:pPr>
    </w:p>
    <w:p w14:paraId="2A543475" w14:textId="77777777" w:rsidR="004E42C3" w:rsidRPr="00420DD5" w:rsidRDefault="004E42C3" w:rsidP="00C1519A">
      <w:pPr>
        <w:rPr>
          <w:rFonts w:ascii="Arial" w:hAnsi="Arial"/>
          <w:szCs w:val="20"/>
        </w:rPr>
      </w:pPr>
    </w:p>
    <w:p w14:paraId="2DC1FA50" w14:textId="5225C18C" w:rsidR="00242B8A" w:rsidRPr="00242B8A" w:rsidRDefault="00242B8A" w:rsidP="00242B8A">
      <w:pPr>
        <w:rPr>
          <w:rFonts w:ascii="Arial" w:hAnsi="Arial"/>
          <w:b/>
          <w:szCs w:val="20"/>
        </w:rPr>
      </w:pPr>
      <w:r w:rsidRPr="00242B8A">
        <w:rPr>
          <w:rFonts w:ascii="Arial" w:hAnsi="Arial"/>
          <w:b/>
          <w:szCs w:val="20"/>
        </w:rPr>
        <w:t xml:space="preserve"> </w:t>
      </w:r>
    </w:p>
    <w:p w14:paraId="78D77B90" w14:textId="1C07A4E8" w:rsidR="00242B8A" w:rsidRDefault="00242B8A" w:rsidP="00DE37CE">
      <w:pPr>
        <w:pStyle w:val="Header"/>
        <w:numPr>
          <w:ilvl w:val="0"/>
          <w:numId w:val="2"/>
        </w:numPr>
        <w:tabs>
          <w:tab w:val="clear" w:pos="4153"/>
          <w:tab w:val="clear" w:pos="8306"/>
        </w:tabs>
        <w:ind w:hanging="1004"/>
        <w:rPr>
          <w:b/>
          <w:sz w:val="28"/>
          <w:szCs w:val="28"/>
        </w:rPr>
      </w:pPr>
      <w:r w:rsidRPr="00242B8A">
        <w:rPr>
          <w:b/>
          <w:sz w:val="28"/>
          <w:szCs w:val="28"/>
        </w:rPr>
        <w:t>Covid19 funding for Schools</w:t>
      </w:r>
    </w:p>
    <w:p w14:paraId="6C4E180B" w14:textId="77777777" w:rsidR="00242B8A" w:rsidRDefault="00242B8A" w:rsidP="00242B8A">
      <w:pPr>
        <w:pStyle w:val="Header"/>
        <w:tabs>
          <w:tab w:val="clear" w:pos="4153"/>
          <w:tab w:val="clear" w:pos="8306"/>
        </w:tabs>
        <w:ind w:left="720"/>
        <w:rPr>
          <w:b/>
          <w:sz w:val="28"/>
          <w:szCs w:val="28"/>
        </w:rPr>
      </w:pPr>
    </w:p>
    <w:p w14:paraId="56545947" w14:textId="25D34C36" w:rsidR="00242B8A" w:rsidRDefault="00784BCB" w:rsidP="00242B8A">
      <w:pPr>
        <w:pStyle w:val="Header"/>
        <w:numPr>
          <w:ilvl w:val="1"/>
          <w:numId w:val="2"/>
        </w:numPr>
        <w:tabs>
          <w:tab w:val="clear" w:pos="4153"/>
          <w:tab w:val="clear" w:pos="8306"/>
        </w:tabs>
        <w:ind w:hanging="720"/>
        <w:jc w:val="both"/>
        <w:rPr>
          <w:szCs w:val="24"/>
        </w:rPr>
      </w:pPr>
      <w:r>
        <w:rPr>
          <w:szCs w:val="24"/>
        </w:rPr>
        <w:t>Government’s response to COVID</w:t>
      </w:r>
      <w:r w:rsidR="00242B8A" w:rsidRPr="00242B8A">
        <w:rPr>
          <w:szCs w:val="24"/>
        </w:rPr>
        <w:t xml:space="preserve">-19 is fast-moving and the accompanying guidance is being regularly updated. </w:t>
      </w:r>
      <w:r>
        <w:rPr>
          <w:szCs w:val="24"/>
        </w:rPr>
        <w:t>£302m COVID-19</w:t>
      </w:r>
      <w:r w:rsidR="00242B8A">
        <w:rPr>
          <w:szCs w:val="24"/>
        </w:rPr>
        <w:t xml:space="preserve"> Recovery Premium Fund was announced in February 2021.</w:t>
      </w:r>
    </w:p>
    <w:p w14:paraId="541AF297" w14:textId="0A539F27" w:rsidR="00242B8A" w:rsidRDefault="00242B8A" w:rsidP="00242B8A">
      <w:pPr>
        <w:pStyle w:val="Header"/>
        <w:tabs>
          <w:tab w:val="clear" w:pos="4153"/>
          <w:tab w:val="clear" w:pos="8306"/>
        </w:tabs>
        <w:jc w:val="both"/>
        <w:rPr>
          <w:szCs w:val="24"/>
        </w:rPr>
      </w:pPr>
    </w:p>
    <w:p w14:paraId="28F72E0E" w14:textId="00BF172C" w:rsidR="00242B8A" w:rsidRPr="00242B8A" w:rsidRDefault="00242B8A" w:rsidP="00242B8A">
      <w:pPr>
        <w:pStyle w:val="Header"/>
        <w:tabs>
          <w:tab w:val="clear" w:pos="4153"/>
          <w:tab w:val="clear" w:pos="8306"/>
        </w:tabs>
        <w:ind w:left="709" w:hanging="709"/>
        <w:jc w:val="both"/>
        <w:rPr>
          <w:rFonts w:cs="Arial"/>
        </w:rPr>
      </w:pPr>
      <w:r>
        <w:rPr>
          <w:szCs w:val="24"/>
        </w:rPr>
        <w:t>4.2</w:t>
      </w:r>
      <w:r>
        <w:rPr>
          <w:szCs w:val="24"/>
        </w:rPr>
        <w:tab/>
      </w:r>
      <w:r w:rsidRPr="00242B8A">
        <w:rPr>
          <w:rFonts w:cs="Arial"/>
        </w:rPr>
        <w:t xml:space="preserve">A new one-off Recovery Premium for state primary and secondary schools, building on the Pupil Premium, will be provided to schools to use as they see best to support disadvantaged students. The average primary school will </w:t>
      </w:r>
      <w:r w:rsidRPr="00242B8A">
        <w:rPr>
          <w:rFonts w:cs="Arial"/>
        </w:rPr>
        <w:lastRenderedPageBreak/>
        <w:t xml:space="preserve">receive around £6,000 extra, and the average secondary school around £22,000 extra. This will help schools to bolster summer provision for their students, for example laying on additional clubs and activities, or for evidence-based approaches for supporting the most disadvantaged pupils from September.   Please refer to the link for further details. </w:t>
      </w:r>
    </w:p>
    <w:p w14:paraId="2DAE99F1" w14:textId="77777777" w:rsidR="00242B8A" w:rsidRDefault="00242B8A" w:rsidP="00242B8A">
      <w:pPr>
        <w:pStyle w:val="ListParagraph"/>
        <w:spacing w:line="259" w:lineRule="auto"/>
        <w:ind w:left="567"/>
      </w:pPr>
    </w:p>
    <w:p w14:paraId="73F82B69" w14:textId="4137469C" w:rsidR="00242B8A" w:rsidRDefault="00A76875" w:rsidP="00242B8A">
      <w:pPr>
        <w:pStyle w:val="ListParagraph"/>
        <w:spacing w:line="259" w:lineRule="auto"/>
        <w:ind w:left="709"/>
      </w:pPr>
      <w:hyperlink r:id="rId20" w:history="1">
        <w:r w:rsidR="00242B8A" w:rsidRPr="00DC4D1E">
          <w:rPr>
            <w:rStyle w:val="Hyperlink"/>
          </w:rPr>
          <w:t>https://www.gov.uk/government/news/new-education-recovery-package-for-children-and-young-people</w:t>
        </w:r>
      </w:hyperlink>
    </w:p>
    <w:p w14:paraId="78D9B50D" w14:textId="77777777" w:rsidR="00242B8A" w:rsidRPr="00242B8A" w:rsidRDefault="00242B8A" w:rsidP="00242B8A">
      <w:pPr>
        <w:pStyle w:val="ListParagraph"/>
        <w:spacing w:line="259" w:lineRule="auto"/>
        <w:ind w:left="567"/>
        <w:rPr>
          <w:u w:val="single"/>
        </w:rPr>
      </w:pPr>
    </w:p>
    <w:p w14:paraId="30591D74" w14:textId="633906EA" w:rsidR="00242B8A" w:rsidRPr="00242B8A" w:rsidRDefault="00242B8A" w:rsidP="00242B8A">
      <w:pPr>
        <w:pStyle w:val="Header"/>
        <w:tabs>
          <w:tab w:val="clear" w:pos="4153"/>
          <w:tab w:val="clear" w:pos="8306"/>
        </w:tabs>
        <w:ind w:left="720"/>
        <w:rPr>
          <w:szCs w:val="24"/>
        </w:rPr>
      </w:pPr>
    </w:p>
    <w:p w14:paraId="7DD745E7" w14:textId="47A0A49A" w:rsidR="00904A8D" w:rsidRPr="00420DD5" w:rsidRDefault="00904A8D" w:rsidP="00DE37CE">
      <w:pPr>
        <w:pStyle w:val="Header"/>
        <w:numPr>
          <w:ilvl w:val="0"/>
          <w:numId w:val="2"/>
        </w:numPr>
        <w:tabs>
          <w:tab w:val="clear" w:pos="4153"/>
          <w:tab w:val="clear" w:pos="8306"/>
        </w:tabs>
        <w:ind w:hanging="1004"/>
        <w:rPr>
          <w:b/>
        </w:rPr>
      </w:pPr>
      <w:r w:rsidRPr="00420DD5">
        <w:rPr>
          <w:rFonts w:cs="Arial"/>
          <w:b/>
          <w:bCs/>
          <w:sz w:val="28"/>
        </w:rPr>
        <w:t>Financial, resource and property implications</w:t>
      </w:r>
    </w:p>
    <w:p w14:paraId="46A1A874" w14:textId="77777777" w:rsidR="00904A8D" w:rsidRPr="00420DD5" w:rsidRDefault="00904A8D">
      <w:pPr>
        <w:pStyle w:val="Header"/>
        <w:tabs>
          <w:tab w:val="clear" w:pos="4153"/>
          <w:tab w:val="clear" w:pos="8306"/>
        </w:tabs>
        <w:rPr>
          <w:b/>
        </w:rPr>
      </w:pPr>
    </w:p>
    <w:p w14:paraId="42C83598" w14:textId="2728C119" w:rsidR="00904A8D" w:rsidRPr="00420DD5" w:rsidRDefault="00242B8A" w:rsidP="00CA1E66">
      <w:pPr>
        <w:pStyle w:val="Header"/>
        <w:tabs>
          <w:tab w:val="clear" w:pos="4153"/>
          <w:tab w:val="clear" w:pos="8306"/>
        </w:tabs>
        <w:ind w:left="720" w:hanging="720"/>
        <w:jc w:val="both"/>
        <w:rPr>
          <w:bCs/>
        </w:rPr>
      </w:pPr>
      <w:r>
        <w:rPr>
          <w:bCs/>
        </w:rPr>
        <w:t>5</w:t>
      </w:r>
      <w:r w:rsidR="00904A8D" w:rsidRPr="00420DD5">
        <w:rPr>
          <w:bCs/>
        </w:rPr>
        <w:t>.1</w:t>
      </w:r>
      <w:r w:rsidR="00904A8D" w:rsidRPr="00420DD5">
        <w:rPr>
          <w:bCs/>
        </w:rPr>
        <w:tab/>
        <w:t>The financial implications are detailed in the main body of this report</w:t>
      </w:r>
      <w:r w:rsidR="00974BB9" w:rsidRPr="00420DD5">
        <w:rPr>
          <w:bCs/>
        </w:rPr>
        <w:t>.</w:t>
      </w:r>
      <w:r w:rsidR="00904A8D" w:rsidRPr="00420DD5">
        <w:rPr>
          <w:bCs/>
        </w:rPr>
        <w:br/>
      </w:r>
    </w:p>
    <w:p w14:paraId="15BCDEB0" w14:textId="77777777" w:rsidR="00904A8D" w:rsidRPr="00420DD5" w:rsidRDefault="00904A8D" w:rsidP="00DE37CE">
      <w:pPr>
        <w:pStyle w:val="Header"/>
        <w:numPr>
          <w:ilvl w:val="0"/>
          <w:numId w:val="2"/>
        </w:numPr>
        <w:tabs>
          <w:tab w:val="clear" w:pos="4153"/>
          <w:tab w:val="clear" w:pos="8306"/>
        </w:tabs>
        <w:ind w:hanging="720"/>
        <w:rPr>
          <w:b/>
        </w:rPr>
      </w:pPr>
      <w:r w:rsidRPr="00420DD5">
        <w:rPr>
          <w:rFonts w:cs="Arial"/>
          <w:b/>
          <w:bCs/>
          <w:sz w:val="28"/>
        </w:rPr>
        <w:t>Legal and statutory implications</w:t>
      </w:r>
      <w:r w:rsidRPr="00420DD5">
        <w:rPr>
          <w:b/>
        </w:rPr>
        <w:br/>
      </w:r>
    </w:p>
    <w:p w14:paraId="09B7D0F2" w14:textId="77777777" w:rsidR="00904A8D" w:rsidRPr="00420DD5" w:rsidRDefault="00904A8D" w:rsidP="00DE37CE">
      <w:pPr>
        <w:pStyle w:val="Header"/>
        <w:numPr>
          <w:ilvl w:val="1"/>
          <w:numId w:val="2"/>
        </w:numPr>
        <w:tabs>
          <w:tab w:val="clear" w:pos="4153"/>
          <w:tab w:val="clear" w:pos="8306"/>
        </w:tabs>
        <w:ind w:hanging="720"/>
        <w:jc w:val="both"/>
      </w:pPr>
      <w:r w:rsidRPr="00420DD5">
        <w:t xml:space="preserve">No legal implications at this stage. </w:t>
      </w:r>
    </w:p>
    <w:p w14:paraId="6BD78092" w14:textId="77777777" w:rsidR="00904A8D" w:rsidRPr="00420DD5" w:rsidRDefault="00904A8D">
      <w:pPr>
        <w:pStyle w:val="Header"/>
        <w:tabs>
          <w:tab w:val="clear" w:pos="4153"/>
          <w:tab w:val="clear" w:pos="8306"/>
        </w:tabs>
        <w:ind w:left="285" w:hanging="285"/>
        <w:rPr>
          <w:b/>
        </w:rPr>
      </w:pPr>
    </w:p>
    <w:p w14:paraId="456C44C5" w14:textId="77777777" w:rsidR="00904A8D" w:rsidRPr="00420DD5" w:rsidRDefault="00904A8D" w:rsidP="00DE37CE">
      <w:pPr>
        <w:pStyle w:val="Header"/>
        <w:numPr>
          <w:ilvl w:val="0"/>
          <w:numId w:val="2"/>
        </w:numPr>
        <w:tabs>
          <w:tab w:val="clear" w:pos="4153"/>
          <w:tab w:val="clear" w:pos="8306"/>
        </w:tabs>
        <w:ind w:hanging="720"/>
        <w:rPr>
          <w:b/>
        </w:rPr>
      </w:pPr>
      <w:r w:rsidRPr="00420DD5">
        <w:rPr>
          <w:rFonts w:cs="Arial"/>
          <w:b/>
          <w:bCs/>
          <w:sz w:val="28"/>
        </w:rPr>
        <w:t>Human rights, equalities and community cohesion implications</w:t>
      </w:r>
      <w:r w:rsidRPr="00420DD5">
        <w:rPr>
          <w:b/>
        </w:rPr>
        <w:br/>
      </w:r>
    </w:p>
    <w:p w14:paraId="65970A69" w14:textId="77777777" w:rsidR="00904A8D" w:rsidRPr="00420DD5" w:rsidRDefault="00904A8D" w:rsidP="00DE37CE">
      <w:pPr>
        <w:pStyle w:val="Header"/>
        <w:numPr>
          <w:ilvl w:val="1"/>
          <w:numId w:val="2"/>
        </w:numPr>
        <w:tabs>
          <w:tab w:val="clear" w:pos="4153"/>
          <w:tab w:val="clear" w:pos="8306"/>
        </w:tabs>
        <w:ind w:hanging="720"/>
        <w:jc w:val="both"/>
      </w:pPr>
      <w:r w:rsidRPr="00420DD5">
        <w:t>None at this stage.</w:t>
      </w:r>
    </w:p>
    <w:p w14:paraId="6E775DF8" w14:textId="77777777" w:rsidR="00904A8D" w:rsidRPr="00420DD5" w:rsidRDefault="00904A8D">
      <w:pPr>
        <w:autoSpaceDE w:val="0"/>
        <w:autoSpaceDN w:val="0"/>
        <w:adjustRightInd w:val="0"/>
        <w:rPr>
          <w:color w:val="000000"/>
          <w:lang w:val="en-US"/>
        </w:rPr>
      </w:pPr>
    </w:p>
    <w:p w14:paraId="745CEEA6" w14:textId="77777777" w:rsidR="00904A8D" w:rsidRPr="00420DD5" w:rsidRDefault="00904A8D" w:rsidP="00DE37CE">
      <w:pPr>
        <w:pStyle w:val="Header"/>
        <w:numPr>
          <w:ilvl w:val="0"/>
          <w:numId w:val="2"/>
        </w:numPr>
        <w:tabs>
          <w:tab w:val="clear" w:pos="4153"/>
          <w:tab w:val="clear" w:pos="8306"/>
        </w:tabs>
        <w:ind w:hanging="720"/>
        <w:rPr>
          <w:rFonts w:cs="Arial"/>
          <w:b/>
          <w:bCs/>
          <w:sz w:val="28"/>
        </w:rPr>
      </w:pPr>
      <w:r w:rsidRPr="00420DD5">
        <w:rPr>
          <w:rFonts w:cs="Arial"/>
          <w:b/>
          <w:bCs/>
          <w:sz w:val="28"/>
        </w:rPr>
        <w:t>Appendices</w:t>
      </w:r>
    </w:p>
    <w:p w14:paraId="2C3C4460" w14:textId="77777777" w:rsidR="00904A8D" w:rsidRPr="00420DD5" w:rsidRDefault="00904A8D">
      <w:pPr>
        <w:pStyle w:val="Header"/>
        <w:tabs>
          <w:tab w:val="clear" w:pos="4153"/>
          <w:tab w:val="clear" w:pos="8306"/>
        </w:tabs>
      </w:pPr>
    </w:p>
    <w:p w14:paraId="1F17EA46" w14:textId="300C7DEE" w:rsidR="007970B2" w:rsidRDefault="0016255C" w:rsidP="00DE37CE">
      <w:pPr>
        <w:pStyle w:val="Header"/>
        <w:numPr>
          <w:ilvl w:val="1"/>
          <w:numId w:val="2"/>
        </w:numPr>
        <w:tabs>
          <w:tab w:val="clear" w:pos="4153"/>
          <w:tab w:val="clear" w:pos="8306"/>
        </w:tabs>
        <w:ind w:hanging="720"/>
      </w:pPr>
      <w:r>
        <w:t>Appendix A – 2018/19 DSG outturn and 2019/20 DSG outturn</w:t>
      </w:r>
    </w:p>
    <w:p w14:paraId="73833946" w14:textId="77777777" w:rsidR="00904A8D" w:rsidRPr="00420DD5" w:rsidRDefault="00904A8D">
      <w:pPr>
        <w:pStyle w:val="Header"/>
        <w:tabs>
          <w:tab w:val="clear" w:pos="4153"/>
          <w:tab w:val="clear" w:pos="8306"/>
        </w:tabs>
      </w:pPr>
      <w:r w:rsidRPr="00420DD5">
        <w:tab/>
      </w:r>
    </w:p>
    <w:p w14:paraId="0C3914F7" w14:textId="77777777" w:rsidR="00904A8D" w:rsidRPr="00420DD5" w:rsidRDefault="00904A8D" w:rsidP="00DE37CE">
      <w:pPr>
        <w:pStyle w:val="Header"/>
        <w:numPr>
          <w:ilvl w:val="0"/>
          <w:numId w:val="2"/>
        </w:numPr>
        <w:tabs>
          <w:tab w:val="clear" w:pos="4153"/>
          <w:tab w:val="clear" w:pos="8306"/>
        </w:tabs>
        <w:ind w:hanging="720"/>
        <w:rPr>
          <w:rFonts w:cs="Arial"/>
          <w:b/>
          <w:bCs/>
          <w:sz w:val="28"/>
        </w:rPr>
      </w:pPr>
      <w:r w:rsidRPr="00420DD5">
        <w:rPr>
          <w:rFonts w:cs="Arial"/>
          <w:b/>
          <w:bCs/>
          <w:sz w:val="28"/>
        </w:rPr>
        <w:t xml:space="preserve">Background Papers – the following documents have been relied on in drawing up this report but do not form part of the report: </w:t>
      </w:r>
    </w:p>
    <w:p w14:paraId="04E5F5D1" w14:textId="77777777" w:rsidR="00904A8D" w:rsidRDefault="00904A8D">
      <w:pPr>
        <w:pStyle w:val="Header"/>
        <w:tabs>
          <w:tab w:val="clear" w:pos="4153"/>
          <w:tab w:val="clear" w:pos="8306"/>
        </w:tabs>
        <w:rPr>
          <w:rFonts w:cs="Arial"/>
          <w:b/>
          <w:bCs/>
          <w:sz w:val="28"/>
        </w:rPr>
      </w:pPr>
    </w:p>
    <w:p w14:paraId="0513FB3E" w14:textId="0D8B07B3" w:rsidR="00904A8D" w:rsidRPr="00420DD5" w:rsidRDefault="00242B8A" w:rsidP="00DE37CE">
      <w:pPr>
        <w:pStyle w:val="Header"/>
        <w:numPr>
          <w:ilvl w:val="1"/>
          <w:numId w:val="2"/>
        </w:numPr>
        <w:tabs>
          <w:tab w:val="clear" w:pos="4153"/>
          <w:tab w:val="clear" w:pos="8306"/>
        </w:tabs>
        <w:ind w:hanging="720"/>
        <w:jc w:val="both"/>
      </w:pPr>
      <w:r>
        <w:t>C</w:t>
      </w:r>
      <w:r w:rsidR="00904A8D" w:rsidRPr="00420DD5">
        <w:t>entrally held financial information and other papers held by the Children Schools and Families Finance Team.</w:t>
      </w:r>
    </w:p>
    <w:p w14:paraId="6A9A225B" w14:textId="77777777" w:rsidR="00904A8D" w:rsidRPr="00420DD5" w:rsidRDefault="00904A8D">
      <w:pPr>
        <w:pStyle w:val="Header"/>
        <w:tabs>
          <w:tab w:val="clear" w:pos="4153"/>
          <w:tab w:val="clear" w:pos="8306"/>
        </w:tabs>
      </w:pPr>
    </w:p>
    <w:p w14:paraId="3624FD09" w14:textId="77777777" w:rsidR="00904A8D" w:rsidRPr="00420DD5" w:rsidRDefault="00904A8D" w:rsidP="00DE37CE">
      <w:pPr>
        <w:pStyle w:val="Header"/>
        <w:numPr>
          <w:ilvl w:val="0"/>
          <w:numId w:val="2"/>
        </w:numPr>
        <w:tabs>
          <w:tab w:val="clear" w:pos="4153"/>
          <w:tab w:val="clear" w:pos="8306"/>
        </w:tabs>
        <w:ind w:hanging="720"/>
        <w:rPr>
          <w:rFonts w:cs="Arial"/>
          <w:b/>
          <w:bCs/>
          <w:sz w:val="28"/>
        </w:rPr>
      </w:pPr>
      <w:r w:rsidRPr="00420DD5">
        <w:rPr>
          <w:rFonts w:cs="Arial"/>
          <w:b/>
          <w:bCs/>
          <w:sz w:val="28"/>
        </w:rPr>
        <w:t>Report author</w:t>
      </w:r>
    </w:p>
    <w:p w14:paraId="440C2566" w14:textId="77777777" w:rsidR="00904A8D" w:rsidRPr="00420DD5" w:rsidRDefault="00904A8D">
      <w:pPr>
        <w:pStyle w:val="Header"/>
        <w:tabs>
          <w:tab w:val="clear" w:pos="4153"/>
          <w:tab w:val="clear" w:pos="8306"/>
        </w:tabs>
      </w:pPr>
    </w:p>
    <w:p w14:paraId="21039FCF" w14:textId="2B8089E7" w:rsidR="00904A8D" w:rsidRPr="00420DD5" w:rsidRDefault="00106BE5">
      <w:pPr>
        <w:pStyle w:val="Header"/>
        <w:tabs>
          <w:tab w:val="clear" w:pos="4153"/>
          <w:tab w:val="clear" w:pos="8306"/>
        </w:tabs>
      </w:pPr>
      <w:r>
        <w:t xml:space="preserve">Pat Harvey, Interim Principal Accountant, </w:t>
      </w:r>
      <w:r w:rsidR="00904A8D" w:rsidRPr="00420DD5">
        <w:t xml:space="preserve">CSF    </w:t>
      </w:r>
    </w:p>
    <w:p w14:paraId="2316954D" w14:textId="5AE81B15" w:rsidR="00904A8D" w:rsidRPr="00420DD5" w:rsidRDefault="00F0466C">
      <w:pPr>
        <w:pStyle w:val="Header"/>
        <w:tabs>
          <w:tab w:val="clear" w:pos="4153"/>
          <w:tab w:val="clear" w:pos="8306"/>
        </w:tabs>
      </w:pPr>
      <w:r>
        <w:t>0208 545 3939</w:t>
      </w:r>
    </w:p>
    <w:p w14:paraId="346A814B" w14:textId="6BBEA37E" w:rsidR="00904A8D" w:rsidRPr="00420DD5" w:rsidRDefault="00A76875">
      <w:pPr>
        <w:pStyle w:val="Header"/>
        <w:tabs>
          <w:tab w:val="clear" w:pos="4153"/>
          <w:tab w:val="clear" w:pos="8306"/>
        </w:tabs>
      </w:pPr>
      <w:hyperlink r:id="rId21" w:history="1">
        <w:r w:rsidR="00F0466C" w:rsidRPr="00DC4D1E">
          <w:rPr>
            <w:rStyle w:val="Hyperlink"/>
          </w:rPr>
          <w:t>Patricia.harvey@merton.gov.uk</w:t>
        </w:r>
      </w:hyperlink>
    </w:p>
    <w:p w14:paraId="74EED74F" w14:textId="77777777" w:rsidR="00904A8D" w:rsidRPr="00420DD5" w:rsidRDefault="00904A8D">
      <w:pPr>
        <w:pStyle w:val="Header"/>
        <w:tabs>
          <w:tab w:val="clear" w:pos="4153"/>
          <w:tab w:val="clear" w:pos="8306"/>
        </w:tabs>
      </w:pPr>
    </w:p>
    <w:p w14:paraId="09C6F354" w14:textId="77777777" w:rsidR="00904A8D" w:rsidRDefault="00904A8D" w:rsidP="00CA1E66">
      <w:pPr>
        <w:pStyle w:val="Header"/>
        <w:tabs>
          <w:tab w:val="clear" w:pos="4153"/>
          <w:tab w:val="clear" w:pos="8306"/>
        </w:tabs>
        <w:jc w:val="both"/>
      </w:pPr>
      <w:r w:rsidRPr="00420DD5">
        <w:t xml:space="preserve">Further information about Merton Council can be obtained from its web site </w:t>
      </w:r>
      <w:hyperlink r:id="rId22" w:history="1">
        <w:r w:rsidRPr="00420DD5">
          <w:rPr>
            <w:rStyle w:val="Hyperlink"/>
          </w:rPr>
          <w:t>www.merton.gov.uk</w:t>
        </w:r>
      </w:hyperlink>
      <w:r>
        <w:t xml:space="preserve"> </w:t>
      </w:r>
    </w:p>
    <w:p w14:paraId="30719A49" w14:textId="77777777" w:rsidR="00117944" w:rsidRDefault="00117944">
      <w:pPr>
        <w:pStyle w:val="Header"/>
        <w:tabs>
          <w:tab w:val="clear" w:pos="4153"/>
          <w:tab w:val="clear" w:pos="8306"/>
        </w:tabs>
        <w:jc w:val="right"/>
        <w:rPr>
          <w:b/>
          <w:sz w:val="36"/>
        </w:rPr>
      </w:pPr>
    </w:p>
    <w:p w14:paraId="631480C8" w14:textId="77777777" w:rsidR="002072A9" w:rsidRDefault="002072A9">
      <w:pPr>
        <w:rPr>
          <w:b/>
          <w:sz w:val="36"/>
        </w:rPr>
        <w:sectPr w:rsidR="002072A9" w:rsidSect="00DE37CE">
          <w:footerReference w:type="default" r:id="rId23"/>
          <w:pgSz w:w="11906" w:h="16838"/>
          <w:pgMar w:top="568" w:right="1418" w:bottom="1242" w:left="1418" w:header="709" w:footer="709" w:gutter="0"/>
          <w:cols w:space="708"/>
          <w:docGrid w:linePitch="360"/>
        </w:sectPr>
      </w:pPr>
    </w:p>
    <w:p w14:paraId="295B32D4" w14:textId="77777777" w:rsidR="00794AD2" w:rsidRDefault="00B431E4" w:rsidP="00B762F5">
      <w:pPr>
        <w:rPr>
          <w:rFonts w:ascii="Arial" w:hAnsi="Arial"/>
          <w:b/>
          <w:sz w:val="20"/>
          <w:szCs w:val="20"/>
        </w:rPr>
      </w:pPr>
      <w:r w:rsidRPr="00B431E4">
        <w:rPr>
          <w:noProof/>
          <w:sz w:val="20"/>
          <w:szCs w:val="20"/>
          <w:lang w:eastAsia="en-GB"/>
        </w:rPr>
        <w:lastRenderedPageBreak/>
        <w:drawing>
          <wp:anchor distT="0" distB="0" distL="114300" distR="114300" simplePos="0" relativeHeight="251664384" behindDoc="0" locked="0" layoutInCell="1" allowOverlap="1" wp14:anchorId="05763F11" wp14:editId="525C2DDB">
            <wp:simplePos x="0" y="0"/>
            <wp:positionH relativeFrom="column">
              <wp:posOffset>0</wp:posOffset>
            </wp:positionH>
            <wp:positionV relativeFrom="paragraph">
              <wp:posOffset>0</wp:posOffset>
            </wp:positionV>
            <wp:extent cx="8383905" cy="56286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3905" cy="5628640"/>
                    </a:xfrm>
                    <a:prstGeom prst="rect">
                      <a:avLst/>
                    </a:prstGeom>
                    <a:noFill/>
                    <a:ln>
                      <a:noFill/>
                    </a:ln>
                  </pic:spPr>
                </pic:pic>
              </a:graphicData>
            </a:graphic>
          </wp:anchor>
        </w:drawing>
      </w:r>
      <w:r w:rsidRPr="00B431E4">
        <w:rPr>
          <w:rFonts w:ascii="Arial" w:hAnsi="Arial"/>
          <w:b/>
          <w:sz w:val="20"/>
          <w:szCs w:val="20"/>
        </w:rPr>
        <w:t>Appendix A</w:t>
      </w:r>
    </w:p>
    <w:p w14:paraId="22E05EF3" w14:textId="65E87C5D" w:rsidR="00B431E4" w:rsidRPr="009441C7" w:rsidRDefault="00794AD2" w:rsidP="00B762F5">
      <w:pPr>
        <w:rPr>
          <w:rFonts w:ascii="Arial" w:hAnsi="Arial"/>
          <w:b/>
          <w:sz w:val="16"/>
          <w:szCs w:val="16"/>
        </w:rPr>
      </w:pPr>
      <w:r w:rsidRPr="009441C7">
        <w:rPr>
          <w:rFonts w:ascii="Arial" w:hAnsi="Arial"/>
          <w:b/>
          <w:sz w:val="16"/>
          <w:szCs w:val="16"/>
        </w:rPr>
        <w:t>2018/19 and 2019/20</w:t>
      </w:r>
      <w:r w:rsidR="009441C7">
        <w:rPr>
          <w:rFonts w:ascii="Arial" w:hAnsi="Arial"/>
          <w:b/>
          <w:sz w:val="16"/>
          <w:szCs w:val="16"/>
        </w:rPr>
        <w:t xml:space="preserve"> DSG blocks</w:t>
      </w:r>
      <w:r w:rsidRPr="009441C7">
        <w:rPr>
          <w:rFonts w:ascii="Arial" w:hAnsi="Arial"/>
          <w:b/>
          <w:sz w:val="16"/>
          <w:szCs w:val="16"/>
        </w:rPr>
        <w:t xml:space="preserve"> outturn</w:t>
      </w:r>
    </w:p>
    <w:p w14:paraId="211E7B37" w14:textId="2527EC95" w:rsidR="00794AD2" w:rsidRDefault="00794AD2" w:rsidP="00B762F5">
      <w:pPr>
        <w:rPr>
          <w:rFonts w:ascii="Arial" w:hAnsi="Arial"/>
          <w:b/>
          <w:sz w:val="20"/>
          <w:szCs w:val="20"/>
        </w:rPr>
      </w:pPr>
    </w:p>
    <w:p w14:paraId="07ABD2D2" w14:textId="71889C1C" w:rsidR="00794AD2" w:rsidRDefault="00794AD2" w:rsidP="00B762F5">
      <w:pPr>
        <w:rPr>
          <w:rFonts w:ascii="Arial" w:hAnsi="Arial"/>
          <w:b/>
          <w:sz w:val="20"/>
          <w:szCs w:val="20"/>
        </w:rPr>
      </w:pPr>
    </w:p>
    <w:p w14:paraId="20D9BF5B" w14:textId="1136301E" w:rsidR="00794AD2" w:rsidRDefault="00794AD2" w:rsidP="00B762F5">
      <w:pPr>
        <w:rPr>
          <w:rFonts w:ascii="Arial" w:hAnsi="Arial"/>
          <w:b/>
          <w:sz w:val="20"/>
          <w:szCs w:val="20"/>
        </w:rPr>
      </w:pPr>
    </w:p>
    <w:p w14:paraId="66E0BB79" w14:textId="1D8686C5" w:rsidR="00794AD2" w:rsidRDefault="00794AD2" w:rsidP="00B762F5">
      <w:pPr>
        <w:rPr>
          <w:rFonts w:ascii="Arial" w:hAnsi="Arial"/>
          <w:b/>
          <w:sz w:val="20"/>
          <w:szCs w:val="20"/>
        </w:rPr>
      </w:pPr>
    </w:p>
    <w:p w14:paraId="4CED084F" w14:textId="036D21FA" w:rsidR="00794AD2" w:rsidRDefault="00794AD2" w:rsidP="00B762F5">
      <w:pPr>
        <w:rPr>
          <w:rFonts w:ascii="Arial" w:hAnsi="Arial"/>
          <w:b/>
          <w:sz w:val="20"/>
          <w:szCs w:val="20"/>
        </w:rPr>
      </w:pPr>
    </w:p>
    <w:p w14:paraId="0CBD3550" w14:textId="1F432CD2" w:rsidR="00794AD2" w:rsidRDefault="00794AD2" w:rsidP="00B762F5">
      <w:pPr>
        <w:rPr>
          <w:rFonts w:ascii="Arial" w:hAnsi="Arial"/>
          <w:b/>
          <w:sz w:val="20"/>
          <w:szCs w:val="20"/>
        </w:rPr>
      </w:pPr>
    </w:p>
    <w:p w14:paraId="6F1B31F4" w14:textId="21AEE77F" w:rsidR="00794AD2" w:rsidRDefault="00794AD2" w:rsidP="00B762F5">
      <w:pPr>
        <w:rPr>
          <w:rFonts w:ascii="Arial" w:hAnsi="Arial"/>
          <w:b/>
          <w:sz w:val="20"/>
          <w:szCs w:val="20"/>
        </w:rPr>
      </w:pPr>
    </w:p>
    <w:p w14:paraId="4DF3BAEB" w14:textId="5847E8A7" w:rsidR="00794AD2" w:rsidRDefault="00794AD2" w:rsidP="00B762F5">
      <w:pPr>
        <w:rPr>
          <w:rFonts w:ascii="Arial" w:hAnsi="Arial"/>
          <w:b/>
          <w:sz w:val="20"/>
          <w:szCs w:val="20"/>
        </w:rPr>
      </w:pPr>
    </w:p>
    <w:p w14:paraId="59B54368" w14:textId="2A54AF8D" w:rsidR="00794AD2" w:rsidRDefault="00794AD2" w:rsidP="00B762F5">
      <w:pPr>
        <w:rPr>
          <w:rFonts w:ascii="Arial" w:hAnsi="Arial"/>
          <w:b/>
          <w:sz w:val="20"/>
          <w:szCs w:val="20"/>
        </w:rPr>
      </w:pPr>
    </w:p>
    <w:p w14:paraId="0DDF76B0" w14:textId="26FD7D3B" w:rsidR="00794AD2" w:rsidRDefault="00794AD2" w:rsidP="00B762F5">
      <w:pPr>
        <w:rPr>
          <w:rFonts w:ascii="Arial" w:hAnsi="Arial"/>
          <w:b/>
          <w:sz w:val="20"/>
          <w:szCs w:val="20"/>
        </w:rPr>
      </w:pPr>
    </w:p>
    <w:p w14:paraId="65BA03A4" w14:textId="768B0BD6" w:rsidR="00794AD2" w:rsidRDefault="00794AD2" w:rsidP="00B762F5">
      <w:pPr>
        <w:rPr>
          <w:rFonts w:ascii="Arial" w:hAnsi="Arial"/>
          <w:b/>
          <w:sz w:val="20"/>
          <w:szCs w:val="20"/>
        </w:rPr>
      </w:pPr>
    </w:p>
    <w:p w14:paraId="4F520135" w14:textId="55D9A3D1" w:rsidR="00794AD2" w:rsidRDefault="00794AD2" w:rsidP="00B762F5">
      <w:pPr>
        <w:rPr>
          <w:rFonts w:ascii="Arial" w:hAnsi="Arial"/>
          <w:b/>
          <w:sz w:val="20"/>
          <w:szCs w:val="20"/>
        </w:rPr>
      </w:pPr>
    </w:p>
    <w:p w14:paraId="196E67F0" w14:textId="6CF44F7E" w:rsidR="00794AD2" w:rsidRDefault="00794AD2" w:rsidP="00B762F5">
      <w:pPr>
        <w:rPr>
          <w:rFonts w:ascii="Arial" w:hAnsi="Arial"/>
          <w:b/>
          <w:sz w:val="20"/>
          <w:szCs w:val="20"/>
        </w:rPr>
      </w:pPr>
    </w:p>
    <w:p w14:paraId="739A8C82" w14:textId="537C3F07" w:rsidR="00794AD2" w:rsidRDefault="00794AD2" w:rsidP="00B762F5">
      <w:pPr>
        <w:rPr>
          <w:rFonts w:ascii="Arial" w:hAnsi="Arial"/>
          <w:b/>
          <w:sz w:val="20"/>
          <w:szCs w:val="20"/>
        </w:rPr>
      </w:pPr>
    </w:p>
    <w:p w14:paraId="608AD55E" w14:textId="56DDE14D" w:rsidR="00794AD2" w:rsidRDefault="00794AD2" w:rsidP="00B762F5">
      <w:pPr>
        <w:rPr>
          <w:rFonts w:ascii="Arial" w:hAnsi="Arial"/>
          <w:b/>
          <w:sz w:val="20"/>
          <w:szCs w:val="20"/>
        </w:rPr>
      </w:pPr>
    </w:p>
    <w:p w14:paraId="1919387E" w14:textId="55958C49" w:rsidR="00794AD2" w:rsidRDefault="00794AD2" w:rsidP="00B762F5">
      <w:pPr>
        <w:rPr>
          <w:rFonts w:ascii="Arial" w:hAnsi="Arial"/>
          <w:b/>
          <w:sz w:val="20"/>
          <w:szCs w:val="20"/>
        </w:rPr>
      </w:pPr>
    </w:p>
    <w:p w14:paraId="6533B2CB" w14:textId="0606D437" w:rsidR="00794AD2" w:rsidRDefault="00794AD2" w:rsidP="00B762F5">
      <w:pPr>
        <w:rPr>
          <w:rFonts w:ascii="Arial" w:hAnsi="Arial"/>
          <w:b/>
          <w:sz w:val="20"/>
          <w:szCs w:val="20"/>
        </w:rPr>
      </w:pPr>
    </w:p>
    <w:p w14:paraId="4F08063D" w14:textId="725D1255" w:rsidR="00794AD2" w:rsidRDefault="00794AD2" w:rsidP="00B762F5">
      <w:pPr>
        <w:rPr>
          <w:rFonts w:ascii="Arial" w:hAnsi="Arial"/>
          <w:b/>
          <w:sz w:val="20"/>
          <w:szCs w:val="20"/>
        </w:rPr>
      </w:pPr>
    </w:p>
    <w:p w14:paraId="77952A3B" w14:textId="3E186AAA" w:rsidR="00794AD2" w:rsidRDefault="00794AD2" w:rsidP="00B762F5">
      <w:pPr>
        <w:rPr>
          <w:rFonts w:ascii="Arial" w:hAnsi="Arial"/>
          <w:b/>
          <w:sz w:val="20"/>
          <w:szCs w:val="20"/>
        </w:rPr>
      </w:pPr>
    </w:p>
    <w:p w14:paraId="49C0CB7B" w14:textId="70203C30" w:rsidR="00794AD2" w:rsidRDefault="00794AD2" w:rsidP="00B762F5">
      <w:pPr>
        <w:rPr>
          <w:rFonts w:ascii="Arial" w:hAnsi="Arial"/>
          <w:b/>
          <w:sz w:val="20"/>
          <w:szCs w:val="20"/>
        </w:rPr>
      </w:pPr>
    </w:p>
    <w:p w14:paraId="1FB1E78A" w14:textId="2C4A9714" w:rsidR="00794AD2" w:rsidRDefault="00794AD2" w:rsidP="00B762F5">
      <w:pPr>
        <w:rPr>
          <w:rFonts w:ascii="Arial" w:hAnsi="Arial"/>
          <w:b/>
          <w:sz w:val="20"/>
          <w:szCs w:val="20"/>
        </w:rPr>
      </w:pPr>
    </w:p>
    <w:p w14:paraId="44929FA6" w14:textId="0DBE92C6" w:rsidR="00794AD2" w:rsidRDefault="00794AD2" w:rsidP="00B762F5">
      <w:pPr>
        <w:rPr>
          <w:rFonts w:ascii="Arial" w:hAnsi="Arial"/>
          <w:b/>
          <w:sz w:val="20"/>
          <w:szCs w:val="20"/>
        </w:rPr>
      </w:pPr>
    </w:p>
    <w:p w14:paraId="631173E5" w14:textId="4A48EBA7" w:rsidR="00794AD2" w:rsidRDefault="00794AD2" w:rsidP="00B762F5">
      <w:pPr>
        <w:rPr>
          <w:rFonts w:ascii="Arial" w:hAnsi="Arial"/>
          <w:b/>
          <w:sz w:val="20"/>
          <w:szCs w:val="20"/>
        </w:rPr>
      </w:pPr>
    </w:p>
    <w:p w14:paraId="6A854B32" w14:textId="70A6910A" w:rsidR="00794AD2" w:rsidRDefault="00794AD2" w:rsidP="00B762F5">
      <w:pPr>
        <w:rPr>
          <w:rFonts w:ascii="Arial" w:hAnsi="Arial"/>
          <w:b/>
          <w:sz w:val="20"/>
          <w:szCs w:val="20"/>
        </w:rPr>
      </w:pPr>
    </w:p>
    <w:p w14:paraId="41171FDF" w14:textId="441CA7BE" w:rsidR="00794AD2" w:rsidRDefault="00794AD2" w:rsidP="00B762F5">
      <w:pPr>
        <w:rPr>
          <w:rFonts w:ascii="Arial" w:hAnsi="Arial"/>
          <w:b/>
          <w:sz w:val="20"/>
          <w:szCs w:val="20"/>
        </w:rPr>
      </w:pPr>
    </w:p>
    <w:p w14:paraId="1A5BF014" w14:textId="3DA824DF" w:rsidR="00794AD2" w:rsidRDefault="00794AD2" w:rsidP="00B762F5">
      <w:pPr>
        <w:rPr>
          <w:rFonts w:ascii="Arial" w:hAnsi="Arial"/>
          <w:b/>
          <w:sz w:val="20"/>
          <w:szCs w:val="20"/>
        </w:rPr>
      </w:pPr>
    </w:p>
    <w:p w14:paraId="769B63DD" w14:textId="5B60FF1B" w:rsidR="00794AD2" w:rsidRDefault="00794AD2" w:rsidP="00B762F5">
      <w:pPr>
        <w:rPr>
          <w:rFonts w:ascii="Arial" w:hAnsi="Arial"/>
          <w:b/>
          <w:sz w:val="20"/>
          <w:szCs w:val="20"/>
        </w:rPr>
      </w:pPr>
    </w:p>
    <w:p w14:paraId="3327917E" w14:textId="716117BA" w:rsidR="00794AD2" w:rsidRDefault="00794AD2" w:rsidP="00B762F5">
      <w:pPr>
        <w:rPr>
          <w:rFonts w:ascii="Arial" w:hAnsi="Arial"/>
          <w:b/>
          <w:sz w:val="20"/>
          <w:szCs w:val="20"/>
        </w:rPr>
      </w:pPr>
    </w:p>
    <w:p w14:paraId="34D83C6C" w14:textId="0F6F64D7" w:rsidR="00794AD2" w:rsidRDefault="00794AD2" w:rsidP="00B762F5">
      <w:pPr>
        <w:rPr>
          <w:rFonts w:ascii="Arial" w:hAnsi="Arial"/>
          <w:b/>
          <w:sz w:val="20"/>
          <w:szCs w:val="20"/>
        </w:rPr>
      </w:pPr>
    </w:p>
    <w:p w14:paraId="3F7C341E" w14:textId="79F2CE9A" w:rsidR="00794AD2" w:rsidRDefault="00794AD2" w:rsidP="00B762F5">
      <w:pPr>
        <w:rPr>
          <w:rFonts w:ascii="Arial" w:hAnsi="Arial"/>
          <w:b/>
          <w:sz w:val="20"/>
          <w:szCs w:val="20"/>
        </w:rPr>
      </w:pPr>
    </w:p>
    <w:p w14:paraId="72ECE86C" w14:textId="77DD961C" w:rsidR="00794AD2" w:rsidRDefault="00794AD2" w:rsidP="00B762F5">
      <w:pPr>
        <w:rPr>
          <w:rFonts w:ascii="Arial" w:hAnsi="Arial"/>
          <w:b/>
          <w:sz w:val="20"/>
          <w:szCs w:val="20"/>
        </w:rPr>
      </w:pPr>
    </w:p>
    <w:p w14:paraId="0AD4A0DE" w14:textId="3E6FFFEF" w:rsidR="00794AD2" w:rsidRDefault="00794AD2" w:rsidP="00B762F5">
      <w:pPr>
        <w:rPr>
          <w:rFonts w:ascii="Arial" w:hAnsi="Arial"/>
          <w:b/>
          <w:sz w:val="20"/>
          <w:szCs w:val="20"/>
        </w:rPr>
      </w:pPr>
    </w:p>
    <w:p w14:paraId="69BA3F76" w14:textId="62AB6DB9" w:rsidR="00794AD2" w:rsidRDefault="00794AD2" w:rsidP="00B762F5">
      <w:pPr>
        <w:rPr>
          <w:rFonts w:ascii="Arial" w:hAnsi="Arial"/>
          <w:b/>
          <w:sz w:val="20"/>
          <w:szCs w:val="20"/>
        </w:rPr>
      </w:pPr>
    </w:p>
    <w:p w14:paraId="659D45DB" w14:textId="334304C9" w:rsidR="00794AD2" w:rsidRDefault="00794AD2" w:rsidP="00B762F5">
      <w:pPr>
        <w:rPr>
          <w:rFonts w:ascii="Arial" w:hAnsi="Arial"/>
          <w:b/>
          <w:sz w:val="20"/>
          <w:szCs w:val="20"/>
        </w:rPr>
      </w:pPr>
    </w:p>
    <w:p w14:paraId="2D1B630B" w14:textId="5F2CF34C" w:rsidR="00794AD2" w:rsidRDefault="00794AD2" w:rsidP="00B762F5">
      <w:pPr>
        <w:rPr>
          <w:rFonts w:ascii="Arial" w:hAnsi="Arial"/>
          <w:b/>
          <w:sz w:val="20"/>
          <w:szCs w:val="20"/>
        </w:rPr>
      </w:pPr>
    </w:p>
    <w:p w14:paraId="5A7E9708" w14:textId="692F3932" w:rsidR="00794AD2" w:rsidRDefault="00794AD2" w:rsidP="00B762F5">
      <w:pPr>
        <w:rPr>
          <w:rFonts w:ascii="Arial" w:hAnsi="Arial"/>
          <w:b/>
          <w:sz w:val="20"/>
          <w:szCs w:val="20"/>
        </w:rPr>
      </w:pPr>
    </w:p>
    <w:p w14:paraId="4723BA41" w14:textId="48D4EEDC" w:rsidR="00794AD2" w:rsidRPr="00B431E4" w:rsidRDefault="0004085A" w:rsidP="00794AD2">
      <w:pPr>
        <w:jc w:val="right"/>
        <w:rPr>
          <w:rFonts w:ascii="Arial" w:hAnsi="Arial"/>
          <w:b/>
          <w:sz w:val="20"/>
          <w:szCs w:val="20"/>
        </w:rPr>
      </w:pPr>
      <w:r>
        <w:rPr>
          <w:rFonts w:ascii="Arial" w:hAnsi="Arial"/>
          <w:b/>
          <w:sz w:val="20"/>
          <w:szCs w:val="20"/>
        </w:rPr>
        <w:t xml:space="preserve">  </w:t>
      </w:r>
    </w:p>
    <w:sectPr w:rsidR="00794AD2" w:rsidRPr="00B431E4" w:rsidSect="00794AD2">
      <w:pgSz w:w="16838" w:h="11906" w:orient="landscape"/>
      <w:pgMar w:top="1135" w:right="851"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88CC" w14:textId="77777777" w:rsidR="00DE37CE" w:rsidRDefault="00DE37CE">
      <w:r>
        <w:separator/>
      </w:r>
    </w:p>
  </w:endnote>
  <w:endnote w:type="continuationSeparator" w:id="0">
    <w:p w14:paraId="6559EE3F" w14:textId="77777777" w:rsidR="00DE37CE" w:rsidRDefault="00DE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DF8A" w14:textId="1051A2A8" w:rsidR="00DE37CE" w:rsidRDefault="00DE37C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A768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3E3F" w14:textId="77777777" w:rsidR="00DE37CE" w:rsidRDefault="00DE37CE">
      <w:r>
        <w:separator/>
      </w:r>
    </w:p>
  </w:footnote>
  <w:footnote w:type="continuationSeparator" w:id="0">
    <w:p w14:paraId="48D6DEE3" w14:textId="77777777" w:rsidR="00DE37CE" w:rsidRDefault="00DE37CE">
      <w:r>
        <w:continuationSeparator/>
      </w:r>
    </w:p>
  </w:footnote>
  <w:footnote w:id="1">
    <w:p w14:paraId="73EF3E9B" w14:textId="0A41A5C0" w:rsidR="00DE37CE" w:rsidRPr="000326AB" w:rsidRDefault="00DE37CE">
      <w:pPr>
        <w:pStyle w:val="FootnoteText"/>
        <w:rPr>
          <w:sz w:val="16"/>
          <w:szCs w:val="16"/>
        </w:rPr>
      </w:pPr>
      <w:r w:rsidRPr="000326AB">
        <w:rPr>
          <w:rStyle w:val="FootnoteReference"/>
          <w:sz w:val="16"/>
          <w:szCs w:val="16"/>
        </w:rPr>
        <w:footnoteRef/>
      </w:r>
      <w:r w:rsidRPr="000326AB">
        <w:rPr>
          <w:sz w:val="16"/>
          <w:szCs w:val="16"/>
        </w:rPr>
        <w:t xml:space="preserve"> </w:t>
      </w:r>
      <w:hyperlink r:id="rId1" w:anchor="dataBlock-90caccb8-5c11-46c2-805c-bff8465614d2-tables" w:history="1">
        <w:r w:rsidRPr="000326AB">
          <w:rPr>
            <w:color w:val="0000FF"/>
            <w:sz w:val="16"/>
            <w:szCs w:val="16"/>
            <w:u w:val="single"/>
          </w:rPr>
          <w:t>Education, health and care plans, Reporting Year 2021 – Explore education statistics – GOV.UK (explore-education-statistics.service.gov.uk)</w:t>
        </w:r>
      </w:hyperlink>
    </w:p>
  </w:footnote>
  <w:footnote w:id="2">
    <w:p w14:paraId="73DB81AB" w14:textId="67E17C9E" w:rsidR="00DE37CE" w:rsidRDefault="00DE37CE">
      <w:pPr>
        <w:pStyle w:val="FootnoteText"/>
      </w:pPr>
      <w:r>
        <w:rPr>
          <w:rStyle w:val="FootnoteReference"/>
        </w:rPr>
        <w:footnoteRef/>
      </w:r>
      <w:r>
        <w:t xml:space="preserve"> </w:t>
      </w:r>
      <w:hyperlink r:id="rId2" w:history="1">
        <w:r w:rsidRPr="00444101">
          <w:rPr>
            <w:color w:val="0000FF"/>
            <w:sz w:val="16"/>
            <w:szCs w:val="16"/>
            <w:u w:val="single"/>
          </w:rPr>
          <w:t>DfE Data Release Breakdown: EHCPs in England - Mime (mimeconsulting.co.uk)</w:t>
        </w:r>
      </w:hyperlink>
    </w:p>
  </w:footnote>
  <w:footnote w:id="3">
    <w:p w14:paraId="2F9016E5" w14:textId="0D68FA8F" w:rsidR="00DE37CE" w:rsidRDefault="00DE37CE">
      <w:pPr>
        <w:pStyle w:val="FootnoteText"/>
      </w:pPr>
      <w:r>
        <w:rPr>
          <w:rStyle w:val="FootnoteReference"/>
        </w:rPr>
        <w:footnoteRef/>
      </w:r>
      <w:r>
        <w:t xml:space="preserve"> </w:t>
      </w:r>
      <w:hyperlink r:id="rId3" w:history="1">
        <w:r w:rsidRPr="00D77692">
          <w:rPr>
            <w:color w:val="0000FF"/>
            <w:sz w:val="16"/>
            <w:szCs w:val="16"/>
            <w:u w:val="single"/>
          </w:rPr>
          <w:t>Statements of SEN and EHC Plans: England 2019 -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406BE"/>
    <w:multiLevelType w:val="hybridMultilevel"/>
    <w:tmpl w:val="5B28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269E4"/>
    <w:multiLevelType w:val="hybridMultilevel"/>
    <w:tmpl w:val="3DC083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1094773"/>
    <w:multiLevelType w:val="multilevel"/>
    <w:tmpl w:val="BD5E4880"/>
    <w:lvl w:ilvl="0">
      <w:start w:val="2"/>
      <w:numFmt w:val="decimal"/>
      <w:lvlText w:val="%1"/>
      <w:lvlJc w:val="left"/>
      <w:pPr>
        <w:ind w:left="360" w:hanging="360"/>
      </w:pPr>
      <w:rPr>
        <w:rFonts w:cs="Times New Roman" w:hint="default"/>
        <w:sz w:val="28"/>
        <w:szCs w:val="28"/>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BC553D"/>
    <w:multiLevelType w:val="multilevel"/>
    <w:tmpl w:val="A40A8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5632B"/>
    <w:multiLevelType w:val="multilevel"/>
    <w:tmpl w:val="4ECC710A"/>
    <w:lvl w:ilvl="0">
      <w:start w:val="2"/>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F5F5ECF"/>
    <w:multiLevelType w:val="hybridMultilevel"/>
    <w:tmpl w:val="008E9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8B2095"/>
    <w:multiLevelType w:val="multilevel"/>
    <w:tmpl w:val="12BAC974"/>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2"/>
  </w:num>
  <w:num w:numId="4">
    <w:abstractNumId w:val="13"/>
  </w:num>
  <w:num w:numId="5">
    <w:abstractNumId w:val="2"/>
  </w:num>
  <w:num w:numId="6">
    <w:abstractNumId w:val="0"/>
  </w:num>
  <w:num w:numId="7">
    <w:abstractNumId w:val="6"/>
  </w:num>
  <w:num w:numId="8">
    <w:abstractNumId w:val="1"/>
  </w:num>
  <w:num w:numId="9">
    <w:abstractNumId w:val="11"/>
  </w:num>
  <w:num w:numId="10">
    <w:abstractNumId w:val="7"/>
  </w:num>
  <w:num w:numId="11">
    <w:abstractNumId w:val="4"/>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F"/>
    <w:rsid w:val="000061A6"/>
    <w:rsid w:val="0000691E"/>
    <w:rsid w:val="0001074A"/>
    <w:rsid w:val="00012FC7"/>
    <w:rsid w:val="000140C2"/>
    <w:rsid w:val="00016282"/>
    <w:rsid w:val="000326AB"/>
    <w:rsid w:val="0003678F"/>
    <w:rsid w:val="0004085A"/>
    <w:rsid w:val="0004318D"/>
    <w:rsid w:val="00065F87"/>
    <w:rsid w:val="000807D3"/>
    <w:rsid w:val="00092A34"/>
    <w:rsid w:val="00094B92"/>
    <w:rsid w:val="000A481E"/>
    <w:rsid w:val="000A4BC1"/>
    <w:rsid w:val="000C1D8C"/>
    <w:rsid w:val="000C4D73"/>
    <w:rsid w:val="000C5D71"/>
    <w:rsid w:val="000C6058"/>
    <w:rsid w:val="000E1F3C"/>
    <w:rsid w:val="001033F9"/>
    <w:rsid w:val="00106BE5"/>
    <w:rsid w:val="0010723E"/>
    <w:rsid w:val="00117944"/>
    <w:rsid w:val="00122298"/>
    <w:rsid w:val="001248F4"/>
    <w:rsid w:val="00141ECE"/>
    <w:rsid w:val="001429C1"/>
    <w:rsid w:val="00143C85"/>
    <w:rsid w:val="00144791"/>
    <w:rsid w:val="00154EB3"/>
    <w:rsid w:val="0015558B"/>
    <w:rsid w:val="00157B9D"/>
    <w:rsid w:val="0016255C"/>
    <w:rsid w:val="001641D2"/>
    <w:rsid w:val="00170C17"/>
    <w:rsid w:val="00183D42"/>
    <w:rsid w:val="00184291"/>
    <w:rsid w:val="001B3EEC"/>
    <w:rsid w:val="001C2942"/>
    <w:rsid w:val="001E226F"/>
    <w:rsid w:val="001F00EE"/>
    <w:rsid w:val="002072A9"/>
    <w:rsid w:val="00213F8C"/>
    <w:rsid w:val="00216C52"/>
    <w:rsid w:val="0023442C"/>
    <w:rsid w:val="00242B8A"/>
    <w:rsid w:val="00245A24"/>
    <w:rsid w:val="00256D7D"/>
    <w:rsid w:val="002A5533"/>
    <w:rsid w:val="002A58DA"/>
    <w:rsid w:val="002B2619"/>
    <w:rsid w:val="002C3DA9"/>
    <w:rsid w:val="002D49FF"/>
    <w:rsid w:val="002D7326"/>
    <w:rsid w:val="002E2DD2"/>
    <w:rsid w:val="002E4C70"/>
    <w:rsid w:val="002E5D2C"/>
    <w:rsid w:val="002E6C06"/>
    <w:rsid w:val="002F1848"/>
    <w:rsid w:val="002F1DC0"/>
    <w:rsid w:val="002F5D49"/>
    <w:rsid w:val="00301840"/>
    <w:rsid w:val="00303DE8"/>
    <w:rsid w:val="003115BC"/>
    <w:rsid w:val="003145B9"/>
    <w:rsid w:val="0032100F"/>
    <w:rsid w:val="00331168"/>
    <w:rsid w:val="0033186E"/>
    <w:rsid w:val="00336451"/>
    <w:rsid w:val="003424DF"/>
    <w:rsid w:val="00343C21"/>
    <w:rsid w:val="003462EF"/>
    <w:rsid w:val="00351248"/>
    <w:rsid w:val="00351E20"/>
    <w:rsid w:val="00353C19"/>
    <w:rsid w:val="003637ED"/>
    <w:rsid w:val="00364C3C"/>
    <w:rsid w:val="00370DEA"/>
    <w:rsid w:val="00374717"/>
    <w:rsid w:val="00381A20"/>
    <w:rsid w:val="003858E1"/>
    <w:rsid w:val="00393871"/>
    <w:rsid w:val="0039464E"/>
    <w:rsid w:val="003A3819"/>
    <w:rsid w:val="003A6389"/>
    <w:rsid w:val="003C296D"/>
    <w:rsid w:val="003C33A0"/>
    <w:rsid w:val="003C6DF5"/>
    <w:rsid w:val="003D4421"/>
    <w:rsid w:val="003E0433"/>
    <w:rsid w:val="003E2D2B"/>
    <w:rsid w:val="003F23A2"/>
    <w:rsid w:val="003F67F4"/>
    <w:rsid w:val="003F6F87"/>
    <w:rsid w:val="004026A3"/>
    <w:rsid w:val="004028B7"/>
    <w:rsid w:val="00406709"/>
    <w:rsid w:val="00420DD5"/>
    <w:rsid w:val="00427415"/>
    <w:rsid w:val="00434147"/>
    <w:rsid w:val="004341EF"/>
    <w:rsid w:val="00434CBA"/>
    <w:rsid w:val="00444101"/>
    <w:rsid w:val="00454DBB"/>
    <w:rsid w:val="0046269E"/>
    <w:rsid w:val="0046274E"/>
    <w:rsid w:val="0048394B"/>
    <w:rsid w:val="0049324F"/>
    <w:rsid w:val="00494166"/>
    <w:rsid w:val="00497E39"/>
    <w:rsid w:val="004A251B"/>
    <w:rsid w:val="004B01CC"/>
    <w:rsid w:val="004B3B1A"/>
    <w:rsid w:val="004B48DB"/>
    <w:rsid w:val="004B584D"/>
    <w:rsid w:val="004C1A79"/>
    <w:rsid w:val="004C26F6"/>
    <w:rsid w:val="004C4667"/>
    <w:rsid w:val="004D1B64"/>
    <w:rsid w:val="004D691B"/>
    <w:rsid w:val="004D7AA9"/>
    <w:rsid w:val="004E2A4A"/>
    <w:rsid w:val="004E2D0C"/>
    <w:rsid w:val="004E42C3"/>
    <w:rsid w:val="004F3DD0"/>
    <w:rsid w:val="004F465B"/>
    <w:rsid w:val="004F666E"/>
    <w:rsid w:val="005040BF"/>
    <w:rsid w:val="00505B71"/>
    <w:rsid w:val="005068B4"/>
    <w:rsid w:val="00507060"/>
    <w:rsid w:val="00512D3D"/>
    <w:rsid w:val="00513BFE"/>
    <w:rsid w:val="00525FAB"/>
    <w:rsid w:val="00530C6A"/>
    <w:rsid w:val="005427CD"/>
    <w:rsid w:val="00550FBD"/>
    <w:rsid w:val="005549CF"/>
    <w:rsid w:val="00564475"/>
    <w:rsid w:val="00570446"/>
    <w:rsid w:val="00572C3A"/>
    <w:rsid w:val="00580DE7"/>
    <w:rsid w:val="00582341"/>
    <w:rsid w:val="00587F20"/>
    <w:rsid w:val="00592E9A"/>
    <w:rsid w:val="00597B40"/>
    <w:rsid w:val="005A18BF"/>
    <w:rsid w:val="005A35EF"/>
    <w:rsid w:val="005A6F57"/>
    <w:rsid w:val="005B6731"/>
    <w:rsid w:val="005C1000"/>
    <w:rsid w:val="005C145A"/>
    <w:rsid w:val="005C46BA"/>
    <w:rsid w:val="005D371C"/>
    <w:rsid w:val="005E2F0B"/>
    <w:rsid w:val="00604C6B"/>
    <w:rsid w:val="00607485"/>
    <w:rsid w:val="006209BC"/>
    <w:rsid w:val="006322B8"/>
    <w:rsid w:val="00643561"/>
    <w:rsid w:val="00644C14"/>
    <w:rsid w:val="006471F5"/>
    <w:rsid w:val="00653F37"/>
    <w:rsid w:val="00663DE7"/>
    <w:rsid w:val="00671182"/>
    <w:rsid w:val="00672CDF"/>
    <w:rsid w:val="00680B5F"/>
    <w:rsid w:val="00681E65"/>
    <w:rsid w:val="00683BD8"/>
    <w:rsid w:val="00686825"/>
    <w:rsid w:val="00696B84"/>
    <w:rsid w:val="006A339E"/>
    <w:rsid w:val="006D4054"/>
    <w:rsid w:val="006D711B"/>
    <w:rsid w:val="006D7E4A"/>
    <w:rsid w:val="006E2D7D"/>
    <w:rsid w:val="006F4A1C"/>
    <w:rsid w:val="00711BD4"/>
    <w:rsid w:val="00713DED"/>
    <w:rsid w:val="00724D07"/>
    <w:rsid w:val="00724DEF"/>
    <w:rsid w:val="00733210"/>
    <w:rsid w:val="007361E3"/>
    <w:rsid w:val="007526AC"/>
    <w:rsid w:val="007566B6"/>
    <w:rsid w:val="007569A5"/>
    <w:rsid w:val="00761FFD"/>
    <w:rsid w:val="00764FE9"/>
    <w:rsid w:val="00784BCB"/>
    <w:rsid w:val="0078798C"/>
    <w:rsid w:val="00794AD2"/>
    <w:rsid w:val="007970B2"/>
    <w:rsid w:val="007A27F3"/>
    <w:rsid w:val="007A647C"/>
    <w:rsid w:val="007A76CE"/>
    <w:rsid w:val="007B6BFF"/>
    <w:rsid w:val="007C3D37"/>
    <w:rsid w:val="007D16FA"/>
    <w:rsid w:val="007D548B"/>
    <w:rsid w:val="007D76BB"/>
    <w:rsid w:val="007E18A6"/>
    <w:rsid w:val="008074BF"/>
    <w:rsid w:val="008177A8"/>
    <w:rsid w:val="00845D6B"/>
    <w:rsid w:val="008543A8"/>
    <w:rsid w:val="00854689"/>
    <w:rsid w:val="0085649F"/>
    <w:rsid w:val="008704E6"/>
    <w:rsid w:val="0087408B"/>
    <w:rsid w:val="008839A2"/>
    <w:rsid w:val="0088517C"/>
    <w:rsid w:val="00897888"/>
    <w:rsid w:val="008A37A6"/>
    <w:rsid w:val="008B1D69"/>
    <w:rsid w:val="008B2747"/>
    <w:rsid w:val="008C0CE5"/>
    <w:rsid w:val="008C2492"/>
    <w:rsid w:val="008C7253"/>
    <w:rsid w:val="008D3595"/>
    <w:rsid w:val="008D4BA3"/>
    <w:rsid w:val="008E7D17"/>
    <w:rsid w:val="008F6925"/>
    <w:rsid w:val="008F6F65"/>
    <w:rsid w:val="00901A2A"/>
    <w:rsid w:val="00901EA9"/>
    <w:rsid w:val="00904A8D"/>
    <w:rsid w:val="00904B01"/>
    <w:rsid w:val="00912D0D"/>
    <w:rsid w:val="00924EB9"/>
    <w:rsid w:val="009441C7"/>
    <w:rsid w:val="00950F3B"/>
    <w:rsid w:val="0095355D"/>
    <w:rsid w:val="0095398C"/>
    <w:rsid w:val="009554C6"/>
    <w:rsid w:val="009572E5"/>
    <w:rsid w:val="00957EC7"/>
    <w:rsid w:val="009650E1"/>
    <w:rsid w:val="009667C5"/>
    <w:rsid w:val="009667E9"/>
    <w:rsid w:val="00973896"/>
    <w:rsid w:val="00974BB9"/>
    <w:rsid w:val="00976028"/>
    <w:rsid w:val="009762DB"/>
    <w:rsid w:val="009771D4"/>
    <w:rsid w:val="00984B5A"/>
    <w:rsid w:val="009929BF"/>
    <w:rsid w:val="00994A67"/>
    <w:rsid w:val="009A1477"/>
    <w:rsid w:val="009A442E"/>
    <w:rsid w:val="009A5A5B"/>
    <w:rsid w:val="009B14E1"/>
    <w:rsid w:val="009B37FF"/>
    <w:rsid w:val="009B3DC1"/>
    <w:rsid w:val="009B3F86"/>
    <w:rsid w:val="009E4340"/>
    <w:rsid w:val="009F09E4"/>
    <w:rsid w:val="009F4D56"/>
    <w:rsid w:val="009F7BE8"/>
    <w:rsid w:val="00A112D7"/>
    <w:rsid w:val="00A26786"/>
    <w:rsid w:val="00A2692E"/>
    <w:rsid w:val="00A26B18"/>
    <w:rsid w:val="00A37025"/>
    <w:rsid w:val="00A610B3"/>
    <w:rsid w:val="00A61F61"/>
    <w:rsid w:val="00A61FF3"/>
    <w:rsid w:val="00A66555"/>
    <w:rsid w:val="00A76875"/>
    <w:rsid w:val="00A82255"/>
    <w:rsid w:val="00A87FA9"/>
    <w:rsid w:val="00A90509"/>
    <w:rsid w:val="00AA199E"/>
    <w:rsid w:val="00AA24F9"/>
    <w:rsid w:val="00AA6869"/>
    <w:rsid w:val="00AC6787"/>
    <w:rsid w:val="00AD34A6"/>
    <w:rsid w:val="00AD3C1F"/>
    <w:rsid w:val="00AD3F1E"/>
    <w:rsid w:val="00AF4704"/>
    <w:rsid w:val="00B104BE"/>
    <w:rsid w:val="00B176B0"/>
    <w:rsid w:val="00B31368"/>
    <w:rsid w:val="00B431E4"/>
    <w:rsid w:val="00B43AD2"/>
    <w:rsid w:val="00B534C0"/>
    <w:rsid w:val="00B546F6"/>
    <w:rsid w:val="00B56C5A"/>
    <w:rsid w:val="00B61DA8"/>
    <w:rsid w:val="00B762F5"/>
    <w:rsid w:val="00B85A87"/>
    <w:rsid w:val="00B941F8"/>
    <w:rsid w:val="00B943DC"/>
    <w:rsid w:val="00BA4EBA"/>
    <w:rsid w:val="00BB2686"/>
    <w:rsid w:val="00BB2FF0"/>
    <w:rsid w:val="00BB4E1A"/>
    <w:rsid w:val="00BC431A"/>
    <w:rsid w:val="00BC436B"/>
    <w:rsid w:val="00BC605B"/>
    <w:rsid w:val="00BC6C74"/>
    <w:rsid w:val="00BC7631"/>
    <w:rsid w:val="00BD2328"/>
    <w:rsid w:val="00BF0306"/>
    <w:rsid w:val="00C00F60"/>
    <w:rsid w:val="00C128EE"/>
    <w:rsid w:val="00C1519A"/>
    <w:rsid w:val="00C2019B"/>
    <w:rsid w:val="00C2334F"/>
    <w:rsid w:val="00C24871"/>
    <w:rsid w:val="00C25F0C"/>
    <w:rsid w:val="00C26836"/>
    <w:rsid w:val="00C27B0A"/>
    <w:rsid w:val="00C51C77"/>
    <w:rsid w:val="00C67F62"/>
    <w:rsid w:val="00C73472"/>
    <w:rsid w:val="00C738AA"/>
    <w:rsid w:val="00C871AB"/>
    <w:rsid w:val="00C9048B"/>
    <w:rsid w:val="00CA12E5"/>
    <w:rsid w:val="00CA1E66"/>
    <w:rsid w:val="00CC1850"/>
    <w:rsid w:val="00CE04AA"/>
    <w:rsid w:val="00CF028F"/>
    <w:rsid w:val="00CF272F"/>
    <w:rsid w:val="00CF7E04"/>
    <w:rsid w:val="00D045CE"/>
    <w:rsid w:val="00D06244"/>
    <w:rsid w:val="00D105BA"/>
    <w:rsid w:val="00D112CE"/>
    <w:rsid w:val="00D1297D"/>
    <w:rsid w:val="00D13B47"/>
    <w:rsid w:val="00D30DF0"/>
    <w:rsid w:val="00D34CB4"/>
    <w:rsid w:val="00D37D47"/>
    <w:rsid w:val="00D40974"/>
    <w:rsid w:val="00D46306"/>
    <w:rsid w:val="00D46748"/>
    <w:rsid w:val="00D54559"/>
    <w:rsid w:val="00D56828"/>
    <w:rsid w:val="00D61E3B"/>
    <w:rsid w:val="00D74F47"/>
    <w:rsid w:val="00D77692"/>
    <w:rsid w:val="00D779B7"/>
    <w:rsid w:val="00D82BA1"/>
    <w:rsid w:val="00D900DE"/>
    <w:rsid w:val="00D94D56"/>
    <w:rsid w:val="00DA121F"/>
    <w:rsid w:val="00DA5409"/>
    <w:rsid w:val="00DB287A"/>
    <w:rsid w:val="00DB5E20"/>
    <w:rsid w:val="00DC4649"/>
    <w:rsid w:val="00DD1476"/>
    <w:rsid w:val="00DE37CE"/>
    <w:rsid w:val="00DE6FB8"/>
    <w:rsid w:val="00DF26E2"/>
    <w:rsid w:val="00DF7374"/>
    <w:rsid w:val="00DF7FB6"/>
    <w:rsid w:val="00E0589F"/>
    <w:rsid w:val="00E0736B"/>
    <w:rsid w:val="00E2270D"/>
    <w:rsid w:val="00E24221"/>
    <w:rsid w:val="00E3150F"/>
    <w:rsid w:val="00E332A8"/>
    <w:rsid w:val="00E34F17"/>
    <w:rsid w:val="00E36E2A"/>
    <w:rsid w:val="00E449D2"/>
    <w:rsid w:val="00E5034B"/>
    <w:rsid w:val="00E548B6"/>
    <w:rsid w:val="00E674DA"/>
    <w:rsid w:val="00E71027"/>
    <w:rsid w:val="00E8735D"/>
    <w:rsid w:val="00E920AF"/>
    <w:rsid w:val="00EA6779"/>
    <w:rsid w:val="00EB17F5"/>
    <w:rsid w:val="00EB1FA6"/>
    <w:rsid w:val="00EB4D93"/>
    <w:rsid w:val="00EC17FC"/>
    <w:rsid w:val="00ED3147"/>
    <w:rsid w:val="00ED58EA"/>
    <w:rsid w:val="00EE0770"/>
    <w:rsid w:val="00EE45A9"/>
    <w:rsid w:val="00EF11E0"/>
    <w:rsid w:val="00F0466C"/>
    <w:rsid w:val="00F12ABA"/>
    <w:rsid w:val="00F354BC"/>
    <w:rsid w:val="00F41D5A"/>
    <w:rsid w:val="00F4301A"/>
    <w:rsid w:val="00F44A44"/>
    <w:rsid w:val="00F44EA8"/>
    <w:rsid w:val="00F51AB8"/>
    <w:rsid w:val="00F523E8"/>
    <w:rsid w:val="00F60F1C"/>
    <w:rsid w:val="00F65D9A"/>
    <w:rsid w:val="00F716DF"/>
    <w:rsid w:val="00F7235E"/>
    <w:rsid w:val="00FB0C79"/>
    <w:rsid w:val="00FD1901"/>
    <w:rsid w:val="00FE39E5"/>
    <w:rsid w:val="00FE51E2"/>
    <w:rsid w:val="00FE531C"/>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53B43"/>
  <w15:docId w15:val="{83F04BF2-1507-48B3-B2FC-DD0FF716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 w:type="paragraph" w:styleId="Revision">
    <w:name w:val="Revision"/>
    <w:hidden/>
    <w:uiPriority w:val="99"/>
    <w:semiHidden/>
    <w:rsid w:val="007A647C"/>
    <w:rPr>
      <w:sz w:val="24"/>
      <w:szCs w:val="24"/>
      <w:lang w:eastAsia="en-US"/>
    </w:rPr>
  </w:style>
  <w:style w:type="table" w:customStyle="1" w:styleId="TableGrid2">
    <w:name w:val="Table Grid2"/>
    <w:basedOn w:val="TableNormal"/>
    <w:next w:val="TableGrid"/>
    <w:uiPriority w:val="39"/>
    <w:rsid w:val="002D49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6AB"/>
    <w:rPr>
      <w:sz w:val="20"/>
      <w:szCs w:val="20"/>
    </w:rPr>
  </w:style>
  <w:style w:type="character" w:customStyle="1" w:styleId="FootnoteTextChar">
    <w:name w:val="Footnote Text Char"/>
    <w:basedOn w:val="DefaultParagraphFont"/>
    <w:link w:val="FootnoteText"/>
    <w:semiHidden/>
    <w:rsid w:val="000326AB"/>
    <w:rPr>
      <w:lang w:eastAsia="en-US"/>
    </w:rPr>
  </w:style>
  <w:style w:type="character" w:styleId="FootnoteReference">
    <w:name w:val="footnote reference"/>
    <w:basedOn w:val="DefaultParagraphFont"/>
    <w:semiHidden/>
    <w:unhideWhenUsed/>
    <w:rsid w:val="00032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623654719">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09997004">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 w:id="21117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tricia.harvey@merton.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s://www.gov.uk/government/news/new-education-recovery-package-for-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merton.gov.uk" TargetMode="Externa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statements-of-sen-and-ehc-plans-england-2019" TargetMode="External"/><Relationship Id="rId2" Type="http://schemas.openxmlformats.org/officeDocument/2006/relationships/hyperlink" Target="https://www.mimeconsulting.co.uk/dfe-data-release-breakdown-ehcps-in-england/" TargetMode="External"/><Relationship Id="rId1" Type="http://schemas.openxmlformats.org/officeDocument/2006/relationships/hyperlink" Target="https://explore-education-statistics.service.gov.uk/find-statistics/education-health-and-car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34YSUFNX6FFV-1797567310-1151</_dlc_DocId>
    <_dlc_DocIdUrl xmlns="c49e39d6-2772-42ad-9594-dea6681242dc">
      <Url>https://authoring.merton.gov.uk/_layouts/15/DocIdRedir.aspx?ID=34YSUFNX6FFV-1797567310-1151</Url>
      <Description>34YSUFNX6FFV-1797567310-1151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3E11A-CF94-49E9-BFBA-193E4AFC980D}">
  <ds:schemaRefs>
    <ds:schemaRef ds:uri="http://schemas.microsoft.com/sharepoint/v3/contenttype/forms"/>
  </ds:schemaRefs>
</ds:datastoreItem>
</file>

<file path=customXml/itemProps2.xml><?xml version="1.0" encoding="utf-8"?>
<ds:datastoreItem xmlns:ds="http://schemas.openxmlformats.org/officeDocument/2006/customXml" ds:itemID="{61A0DF6A-5E37-4283-91AD-C92AD7216C5B}">
  <ds:schemaRefs>
    <ds:schemaRef ds:uri="http://schemas.openxmlformats.org/package/2006/metadata/core-properties"/>
    <ds:schemaRef ds:uri="http://purl.org/dc/dcmitype/"/>
    <ds:schemaRef ds:uri="http://purl.org/dc/elements/1.1/"/>
    <ds:schemaRef ds:uri="f8e95602-bbbf-4055-9d41-c0505be6b2d2"/>
    <ds:schemaRef ds:uri="http://schemas.microsoft.com/office/infopath/2007/PartnerControls"/>
    <ds:schemaRef ds:uri="http://schemas.microsoft.com/office/2006/documentManagement/types"/>
    <ds:schemaRef ds:uri="http://www.w3.org/XML/1998/namespace"/>
    <ds:schemaRef ds:uri="0d4b4d7c-ae3b-4969-b7a2-8b99caeeb1f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1D73EAF-AFD6-44A5-9500-FABDB31D857B}"/>
</file>

<file path=customXml/itemProps4.xml><?xml version="1.0" encoding="utf-8"?>
<ds:datastoreItem xmlns:ds="http://schemas.openxmlformats.org/officeDocument/2006/customXml" ds:itemID="{2B1FFA48-BBB0-44B5-BEED-84E01D9152E3}">
  <ds:schemaRefs>
    <ds:schemaRef ds:uri="http://schemas.openxmlformats.org/officeDocument/2006/bibliography"/>
  </ds:schemaRefs>
</ds:datastoreItem>
</file>

<file path=customXml/itemProps5.xml><?xml version="1.0" encoding="utf-8"?>
<ds:datastoreItem xmlns:ds="http://schemas.openxmlformats.org/officeDocument/2006/customXml" ds:itemID="{E572AEB4-CFC9-4699-8664-0B304A358814}"/>
</file>

<file path=docProps/app.xml><?xml version="1.0" encoding="utf-8"?>
<Properties xmlns="http://schemas.openxmlformats.org/officeDocument/2006/extended-properties" xmlns:vt="http://schemas.openxmlformats.org/officeDocument/2006/docPropsVTypes">
  <Template>Normal</Template>
  <TotalTime>7740</TotalTime>
  <Pages>10</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12295</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Church</dc:creator>
  <cp:lastModifiedBy>Patricia Harvey</cp:lastModifiedBy>
  <cp:revision>25</cp:revision>
  <cp:lastPrinted>2020-03-02T14:48:00Z</cp:lastPrinted>
  <dcterms:created xsi:type="dcterms:W3CDTF">2021-06-03T11:06:00Z</dcterms:created>
  <dcterms:modified xsi:type="dcterms:W3CDTF">2021-06-17T23:44:00Z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73a58671-e1be-4333-bbf1-9873e4e3567e</vt:lpwstr>
  </property>
</Properties>
</file>