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0"/>
        <w:gridCol w:w="2946"/>
      </w:tblGrid>
      <w:tr w:rsidR="00904A8D" w14:paraId="15FFACB0" w14:textId="77777777" w:rsidTr="00673EDC">
        <w:trPr>
          <w:trHeight w:val="557"/>
        </w:trPr>
        <w:tc>
          <w:tcPr>
            <w:tcW w:w="6440" w:type="dxa"/>
            <w:vAlign w:val="bottom"/>
          </w:tcPr>
          <w:p w14:paraId="53F30FFD" w14:textId="3487F207" w:rsidR="00904A8D" w:rsidRDefault="009F5FE6" w:rsidP="00673EDC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b/>
              </w:rPr>
            </w:pPr>
            <w:r>
              <w:rPr>
                <w:b/>
                <w:sz w:val="32"/>
              </w:rPr>
              <w:t xml:space="preserve">Schools Forum    </w:t>
            </w:r>
            <w:r w:rsidR="00D071D1">
              <w:rPr>
                <w:b/>
                <w:sz w:val="32"/>
              </w:rPr>
              <w:t>22</w:t>
            </w:r>
            <w:r w:rsidR="00D071D1" w:rsidRPr="00D071D1">
              <w:rPr>
                <w:b/>
                <w:sz w:val="32"/>
                <w:vertAlign w:val="superscript"/>
              </w:rPr>
              <w:t>nd</w:t>
            </w:r>
            <w:r w:rsidR="00D071D1">
              <w:rPr>
                <w:b/>
                <w:sz w:val="32"/>
              </w:rPr>
              <w:t xml:space="preserve"> March</w:t>
            </w:r>
            <w:r w:rsidR="00904A8D">
              <w:rPr>
                <w:b/>
                <w:sz w:val="32"/>
              </w:rPr>
              <w:t xml:space="preserve"> 20</w:t>
            </w:r>
            <w:r>
              <w:rPr>
                <w:b/>
                <w:sz w:val="32"/>
              </w:rPr>
              <w:t>2</w:t>
            </w:r>
            <w:r w:rsidR="00332060">
              <w:rPr>
                <w:b/>
                <w:sz w:val="32"/>
              </w:rPr>
              <w:t>2</w:t>
            </w:r>
          </w:p>
        </w:tc>
        <w:tc>
          <w:tcPr>
            <w:tcW w:w="2946" w:type="dxa"/>
            <w:vAlign w:val="bottom"/>
          </w:tcPr>
          <w:p w14:paraId="2EB94E5A" w14:textId="5EBF9317" w:rsidR="00D20AC0" w:rsidRDefault="00904A8D" w:rsidP="00673EDC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40"/>
                <w:szCs w:val="40"/>
              </w:rPr>
            </w:pPr>
            <w:r>
              <w:t xml:space="preserve">Item </w:t>
            </w:r>
            <w:r w:rsidR="00DB5E20">
              <w:rPr>
                <w:sz w:val="40"/>
                <w:szCs w:val="40"/>
              </w:rPr>
              <w:t xml:space="preserve">   </w:t>
            </w:r>
            <w:r w:rsidR="007648AE">
              <w:rPr>
                <w:sz w:val="40"/>
                <w:szCs w:val="40"/>
              </w:rPr>
              <w:t>4</w:t>
            </w:r>
          </w:p>
        </w:tc>
      </w:tr>
    </w:tbl>
    <w:p w14:paraId="0C909530" w14:textId="77777777" w:rsidR="00904A8D" w:rsidRDefault="00904A8D">
      <w:pPr>
        <w:pStyle w:val="Header"/>
        <w:tabs>
          <w:tab w:val="clear" w:pos="4153"/>
          <w:tab w:val="clear" w:pos="8306"/>
        </w:tabs>
        <w:jc w:val="right"/>
      </w:pPr>
    </w:p>
    <w:p w14:paraId="21B7FD39" w14:textId="6BBFA1AD" w:rsidR="00904A8D" w:rsidRDefault="00DB5E20">
      <w:pPr>
        <w:pStyle w:val="Header"/>
        <w:tabs>
          <w:tab w:val="clear" w:pos="4153"/>
          <w:tab w:val="clear" w:pos="8306"/>
        </w:tabs>
        <w:rPr>
          <w:b/>
        </w:rPr>
      </w:pPr>
      <w:r>
        <w:rPr>
          <w:b/>
        </w:rPr>
        <w:t xml:space="preserve">SUBJECT:  </w:t>
      </w:r>
      <w:r w:rsidR="00404639">
        <w:rPr>
          <w:b/>
        </w:rPr>
        <w:t>D</w:t>
      </w:r>
      <w:r w:rsidR="00530617">
        <w:rPr>
          <w:b/>
        </w:rPr>
        <w:t xml:space="preserve">edicated </w:t>
      </w:r>
      <w:r w:rsidR="00404639">
        <w:rPr>
          <w:b/>
        </w:rPr>
        <w:t>S</w:t>
      </w:r>
      <w:r w:rsidR="00530617">
        <w:rPr>
          <w:b/>
        </w:rPr>
        <w:t xml:space="preserve">chools </w:t>
      </w:r>
      <w:r w:rsidR="00404639">
        <w:rPr>
          <w:b/>
        </w:rPr>
        <w:t>G</w:t>
      </w:r>
      <w:r w:rsidR="00530617">
        <w:rPr>
          <w:b/>
        </w:rPr>
        <w:t>rant (DSG)</w:t>
      </w:r>
      <w:r w:rsidR="00404639">
        <w:rPr>
          <w:b/>
        </w:rPr>
        <w:t xml:space="preserve"> </w:t>
      </w:r>
      <w:r w:rsidR="00E3186C">
        <w:rPr>
          <w:b/>
        </w:rPr>
        <w:t xml:space="preserve">update </w:t>
      </w:r>
      <w:r w:rsidR="00A57233">
        <w:rPr>
          <w:b/>
        </w:rPr>
        <w:t>2021-22 and 2022-23</w:t>
      </w:r>
    </w:p>
    <w:p w14:paraId="2A7A42AF" w14:textId="77777777" w:rsidR="009F5FE6" w:rsidRDefault="009F5FE6">
      <w:pPr>
        <w:pStyle w:val="Header"/>
        <w:tabs>
          <w:tab w:val="clear" w:pos="4153"/>
          <w:tab w:val="clear" w:pos="8306"/>
        </w:tabs>
        <w:rPr>
          <w:b/>
        </w:rPr>
      </w:pPr>
    </w:p>
    <w:p w14:paraId="2F5CF849" w14:textId="59516264" w:rsidR="00904A8D" w:rsidRDefault="009F5FE6">
      <w:pPr>
        <w:pStyle w:val="Header"/>
        <w:tabs>
          <w:tab w:val="clear" w:pos="4153"/>
          <w:tab w:val="clear" w:pos="8306"/>
        </w:tabs>
      </w:pPr>
      <w:r>
        <w:rPr>
          <w:b/>
        </w:rPr>
        <w:t xml:space="preserve">LEAD OFFICER: </w:t>
      </w:r>
      <w:r w:rsidR="008E0578">
        <w:rPr>
          <w:b/>
        </w:rPr>
        <w:t>Pat</w:t>
      </w:r>
      <w:r w:rsidR="001758A5">
        <w:rPr>
          <w:b/>
        </w:rPr>
        <w:t xml:space="preserve"> Harvey</w:t>
      </w:r>
      <w:r w:rsidR="00904A8D">
        <w:rPr>
          <w:bCs/>
        </w:rPr>
        <w:t>,</w:t>
      </w:r>
      <w:r w:rsidR="00904A8D">
        <w:t xml:space="preserve"> Childr</w:t>
      </w:r>
      <w:r w:rsidR="00673EDC">
        <w:t xml:space="preserve">en, Schools and Families </w:t>
      </w:r>
    </w:p>
    <w:p w14:paraId="1CADD1A7" w14:textId="77777777" w:rsidR="00904A8D" w:rsidRDefault="00904A8D">
      <w:pPr>
        <w:pStyle w:val="Header"/>
        <w:tabs>
          <w:tab w:val="clear" w:pos="4153"/>
          <w:tab w:val="clear" w:pos="8306"/>
        </w:tabs>
        <w:rPr>
          <w:b/>
        </w:rPr>
      </w:pPr>
    </w:p>
    <w:p w14:paraId="5350B1EF" w14:textId="2E3FD0C7" w:rsidR="00904A8D" w:rsidRDefault="007C247A">
      <w:pPr>
        <w:pStyle w:val="Header"/>
        <w:tabs>
          <w:tab w:val="clear" w:pos="4153"/>
          <w:tab w:val="clear" w:pos="8306"/>
        </w:tabs>
        <w:rPr>
          <w:b/>
          <w:sz w:val="28"/>
        </w:rPr>
      </w:pPr>
      <w:r>
        <w:rPr>
          <w:b/>
          <w:sz w:val="28"/>
        </w:rPr>
        <w:t>RECOMMENDATIONS</w:t>
      </w:r>
    </w:p>
    <w:p w14:paraId="59C6F57D" w14:textId="77777777" w:rsidR="00904A8D" w:rsidRDefault="00904A8D">
      <w:pPr>
        <w:pStyle w:val="Header"/>
        <w:tabs>
          <w:tab w:val="clear" w:pos="4153"/>
          <w:tab w:val="clear" w:pos="8306"/>
        </w:tabs>
        <w:rPr>
          <w:b/>
        </w:rPr>
      </w:pPr>
    </w:p>
    <w:p w14:paraId="40C4AA2E" w14:textId="77777777" w:rsidR="00DB5E20" w:rsidRDefault="00904A8D">
      <w:pPr>
        <w:pStyle w:val="Header"/>
        <w:tabs>
          <w:tab w:val="clear" w:pos="4153"/>
          <w:tab w:val="clear" w:pos="8306"/>
        </w:tabs>
        <w:ind w:left="360"/>
        <w:rPr>
          <w:b/>
        </w:rPr>
      </w:pPr>
      <w:r>
        <w:rPr>
          <w:b/>
        </w:rPr>
        <w:t>That the Forum</w:t>
      </w:r>
      <w:r w:rsidR="00DB5E20">
        <w:rPr>
          <w:b/>
        </w:rPr>
        <w:t>:</w:t>
      </w:r>
    </w:p>
    <w:p w14:paraId="4205CC0A" w14:textId="0A2E9BDC" w:rsidR="00DB5E20" w:rsidRDefault="00B06B19" w:rsidP="0038046C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jc w:val="both"/>
        <w:rPr>
          <w:b/>
        </w:rPr>
      </w:pPr>
      <w:r>
        <w:rPr>
          <w:b/>
        </w:rPr>
        <w:t xml:space="preserve">Notes </w:t>
      </w:r>
      <w:r w:rsidR="00DB5E20">
        <w:rPr>
          <w:b/>
        </w:rPr>
        <w:t xml:space="preserve">the </w:t>
      </w:r>
      <w:r w:rsidR="00D94467">
        <w:rPr>
          <w:b/>
        </w:rPr>
        <w:t>D</w:t>
      </w:r>
      <w:r w:rsidR="009B6ADE">
        <w:rPr>
          <w:b/>
        </w:rPr>
        <w:t xml:space="preserve">edicated </w:t>
      </w:r>
      <w:r w:rsidR="00D94467">
        <w:rPr>
          <w:b/>
        </w:rPr>
        <w:t>S</w:t>
      </w:r>
      <w:r w:rsidR="009B6ADE">
        <w:rPr>
          <w:b/>
        </w:rPr>
        <w:t xml:space="preserve">chools </w:t>
      </w:r>
      <w:r w:rsidR="00D94467">
        <w:rPr>
          <w:b/>
        </w:rPr>
        <w:t>G</w:t>
      </w:r>
      <w:r w:rsidR="009B6ADE">
        <w:rPr>
          <w:b/>
        </w:rPr>
        <w:t>rant (DSG)</w:t>
      </w:r>
      <w:r w:rsidR="00D94467">
        <w:rPr>
          <w:b/>
        </w:rPr>
        <w:t xml:space="preserve"> allocation </w:t>
      </w:r>
      <w:r w:rsidR="00332060">
        <w:rPr>
          <w:b/>
        </w:rPr>
        <w:t>for 2022</w:t>
      </w:r>
      <w:r w:rsidR="009B6ADE">
        <w:rPr>
          <w:b/>
        </w:rPr>
        <w:t>/2</w:t>
      </w:r>
      <w:r w:rsidR="00332060">
        <w:rPr>
          <w:b/>
        </w:rPr>
        <w:t>3.</w:t>
      </w:r>
    </w:p>
    <w:p w14:paraId="11792908" w14:textId="25136A87" w:rsidR="0038046C" w:rsidRDefault="00203386" w:rsidP="0038046C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jc w:val="both"/>
        <w:rPr>
          <w:b/>
        </w:rPr>
      </w:pPr>
      <w:r>
        <w:rPr>
          <w:b/>
        </w:rPr>
        <w:t xml:space="preserve">Notes </w:t>
      </w:r>
      <w:r w:rsidR="00792CDA">
        <w:rPr>
          <w:b/>
        </w:rPr>
        <w:t xml:space="preserve">the </w:t>
      </w:r>
      <w:r>
        <w:rPr>
          <w:b/>
        </w:rPr>
        <w:t>confirmed</w:t>
      </w:r>
      <w:r w:rsidR="0038046C" w:rsidRPr="00F52B61">
        <w:rPr>
          <w:b/>
        </w:rPr>
        <w:t xml:space="preserve"> de-delegation</w:t>
      </w:r>
      <w:r w:rsidR="0038046C">
        <w:rPr>
          <w:b/>
        </w:rPr>
        <w:t xml:space="preserve"> </w:t>
      </w:r>
      <w:r w:rsidR="009B6ADE">
        <w:rPr>
          <w:b/>
        </w:rPr>
        <w:t xml:space="preserve">of </w:t>
      </w:r>
      <w:r w:rsidR="0038046C">
        <w:rPr>
          <w:b/>
        </w:rPr>
        <w:t>budgets for</w:t>
      </w:r>
      <w:r w:rsidR="00332060">
        <w:rPr>
          <w:b/>
        </w:rPr>
        <w:t xml:space="preserve"> 2022/23</w:t>
      </w:r>
      <w:r w:rsidR="00F52C39">
        <w:rPr>
          <w:b/>
        </w:rPr>
        <w:t xml:space="preserve"> with regards to Tree Maintenance.</w:t>
      </w:r>
    </w:p>
    <w:p w14:paraId="6C656288" w14:textId="1554131C" w:rsidR="0038046C" w:rsidRDefault="00F469DA" w:rsidP="00D327B6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jc w:val="both"/>
        <w:rPr>
          <w:b/>
        </w:rPr>
      </w:pPr>
      <w:r>
        <w:rPr>
          <w:b/>
        </w:rPr>
        <w:t>Notes</w:t>
      </w:r>
      <w:r w:rsidR="009B6ADE" w:rsidRPr="00D327B6">
        <w:rPr>
          <w:b/>
        </w:rPr>
        <w:t xml:space="preserve"> the </w:t>
      </w:r>
      <w:r w:rsidR="00D327B6">
        <w:rPr>
          <w:b/>
        </w:rPr>
        <w:t>Authority Proforma Tool (</w:t>
      </w:r>
      <w:r w:rsidR="009B6ADE" w:rsidRPr="00D327B6">
        <w:rPr>
          <w:b/>
        </w:rPr>
        <w:t>APT</w:t>
      </w:r>
      <w:r w:rsidR="00D327B6">
        <w:rPr>
          <w:b/>
        </w:rPr>
        <w:t>)</w:t>
      </w:r>
      <w:r w:rsidR="0038046C" w:rsidRPr="00D327B6">
        <w:rPr>
          <w:b/>
        </w:rPr>
        <w:t xml:space="preserve"> approval by the E</w:t>
      </w:r>
      <w:r w:rsidR="00D327B6">
        <w:rPr>
          <w:b/>
        </w:rPr>
        <w:t xml:space="preserve">ducation </w:t>
      </w:r>
      <w:r w:rsidR="0038046C" w:rsidRPr="00D327B6">
        <w:rPr>
          <w:b/>
        </w:rPr>
        <w:t>S</w:t>
      </w:r>
      <w:r w:rsidR="00D327B6">
        <w:rPr>
          <w:b/>
        </w:rPr>
        <w:t xml:space="preserve">kills and </w:t>
      </w:r>
      <w:r w:rsidR="0038046C" w:rsidRPr="00D327B6">
        <w:rPr>
          <w:b/>
        </w:rPr>
        <w:t>F</w:t>
      </w:r>
      <w:r w:rsidR="00D327B6">
        <w:rPr>
          <w:b/>
        </w:rPr>
        <w:t xml:space="preserve">unding </w:t>
      </w:r>
      <w:r w:rsidR="0038046C" w:rsidRPr="00D327B6">
        <w:rPr>
          <w:b/>
        </w:rPr>
        <w:t>A</w:t>
      </w:r>
      <w:r w:rsidR="00D327B6">
        <w:rPr>
          <w:b/>
        </w:rPr>
        <w:t>gency</w:t>
      </w:r>
      <w:r w:rsidR="006E6621">
        <w:rPr>
          <w:b/>
        </w:rPr>
        <w:t xml:space="preserve"> (ESFA)</w:t>
      </w:r>
      <w:r w:rsidR="00D327B6">
        <w:rPr>
          <w:b/>
        </w:rPr>
        <w:t>.</w:t>
      </w:r>
    </w:p>
    <w:p w14:paraId="556DDCC2" w14:textId="5B137E07" w:rsidR="00E46471" w:rsidRPr="00D327B6" w:rsidRDefault="000B0877" w:rsidP="00D327B6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jc w:val="both"/>
        <w:rPr>
          <w:b/>
        </w:rPr>
      </w:pPr>
      <w:r>
        <w:rPr>
          <w:b/>
        </w:rPr>
        <w:t>Notes the draft school budget allocations 2022-23 distributed to schools</w:t>
      </w:r>
      <w:r w:rsidR="00666F5D">
        <w:rPr>
          <w:b/>
        </w:rPr>
        <w:t xml:space="preserve"> and formal Ratification by Cabinet.</w:t>
      </w:r>
    </w:p>
    <w:p w14:paraId="6217C971" w14:textId="245D2521" w:rsidR="00F52B61" w:rsidRDefault="0038046C" w:rsidP="00C004AC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jc w:val="both"/>
        <w:rPr>
          <w:b/>
        </w:rPr>
      </w:pPr>
      <w:r w:rsidRPr="00E6007B">
        <w:rPr>
          <w:b/>
        </w:rPr>
        <w:t xml:space="preserve">Notes the </w:t>
      </w:r>
      <w:r w:rsidR="005361CB" w:rsidRPr="00E6007B">
        <w:rPr>
          <w:b/>
        </w:rPr>
        <w:t xml:space="preserve">indicative period 10 </w:t>
      </w:r>
      <w:r w:rsidR="00E6007B" w:rsidRPr="00E6007B">
        <w:rPr>
          <w:b/>
        </w:rPr>
        <w:t xml:space="preserve">DSG </w:t>
      </w:r>
      <w:r w:rsidR="005361CB" w:rsidRPr="00E6007B">
        <w:rPr>
          <w:b/>
        </w:rPr>
        <w:t xml:space="preserve">outturn for </w:t>
      </w:r>
      <w:r w:rsidR="00E6007B" w:rsidRPr="00E6007B">
        <w:rPr>
          <w:b/>
        </w:rPr>
        <w:t>2021-22</w:t>
      </w:r>
      <w:r w:rsidR="002A7141" w:rsidRPr="00E6007B">
        <w:rPr>
          <w:b/>
        </w:rPr>
        <w:t>.</w:t>
      </w:r>
    </w:p>
    <w:p w14:paraId="24661CC3" w14:textId="5311F672" w:rsidR="007151B4" w:rsidRPr="00E6007B" w:rsidRDefault="003F7818" w:rsidP="00C004AC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jc w:val="both"/>
        <w:rPr>
          <w:b/>
        </w:rPr>
      </w:pPr>
      <w:r>
        <w:rPr>
          <w:b/>
        </w:rPr>
        <w:t xml:space="preserve">Notes </w:t>
      </w:r>
      <w:r w:rsidR="004976A9">
        <w:rPr>
          <w:b/>
        </w:rPr>
        <w:t xml:space="preserve">consultation feedback and </w:t>
      </w:r>
      <w:r w:rsidR="00D96E56">
        <w:rPr>
          <w:b/>
        </w:rPr>
        <w:t>S</w:t>
      </w:r>
      <w:r w:rsidR="004976A9">
        <w:rPr>
          <w:b/>
        </w:rPr>
        <w:t xml:space="preserve">chool </w:t>
      </w:r>
      <w:r w:rsidR="00D96E56">
        <w:rPr>
          <w:b/>
        </w:rPr>
        <w:t xml:space="preserve">Forum </w:t>
      </w:r>
      <w:r w:rsidR="00BF2C20">
        <w:rPr>
          <w:b/>
        </w:rPr>
        <w:t>queries from last meeting.</w:t>
      </w:r>
    </w:p>
    <w:p w14:paraId="737180C8" w14:textId="77777777" w:rsidR="009F5FE6" w:rsidRDefault="009F5FE6" w:rsidP="00586932">
      <w:pPr>
        <w:pStyle w:val="Header"/>
        <w:tabs>
          <w:tab w:val="clear" w:pos="4153"/>
          <w:tab w:val="clear" w:pos="8306"/>
        </w:tabs>
        <w:ind w:left="720"/>
        <w:jc w:val="both"/>
        <w:rPr>
          <w:b/>
        </w:rPr>
      </w:pPr>
    </w:p>
    <w:p w14:paraId="58865919" w14:textId="77777777" w:rsidR="00904A8D" w:rsidRDefault="00904A8D">
      <w:pPr>
        <w:pStyle w:val="Header"/>
        <w:numPr>
          <w:ilvl w:val="0"/>
          <w:numId w:val="3"/>
        </w:numPr>
        <w:tabs>
          <w:tab w:val="clear" w:pos="360"/>
          <w:tab w:val="clear" w:pos="4153"/>
          <w:tab w:val="clear" w:pos="8306"/>
        </w:tabs>
        <w:ind w:left="720" w:hanging="720"/>
        <w:rPr>
          <w:b/>
          <w:sz w:val="28"/>
        </w:rPr>
      </w:pPr>
      <w:r>
        <w:rPr>
          <w:b/>
          <w:sz w:val="28"/>
        </w:rPr>
        <w:t>Purpose of report and executive summary</w:t>
      </w:r>
    </w:p>
    <w:p w14:paraId="3514FFC1" w14:textId="77777777" w:rsidR="00904A8D" w:rsidRDefault="00904A8D" w:rsidP="00586932">
      <w:pPr>
        <w:pStyle w:val="Header"/>
        <w:tabs>
          <w:tab w:val="clear" w:pos="4153"/>
          <w:tab w:val="clear" w:pos="8306"/>
        </w:tabs>
        <w:jc w:val="both"/>
        <w:rPr>
          <w:b/>
          <w:sz w:val="28"/>
        </w:rPr>
      </w:pPr>
    </w:p>
    <w:p w14:paraId="01A469A1" w14:textId="6B8F2988" w:rsidR="0041573F" w:rsidRDefault="0041573F" w:rsidP="00586932">
      <w:pPr>
        <w:pStyle w:val="BodyTextIndent3"/>
        <w:numPr>
          <w:ilvl w:val="1"/>
          <w:numId w:val="3"/>
        </w:numPr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Government announ</w:t>
      </w:r>
      <w:r w:rsidR="00D94467">
        <w:rPr>
          <w:rFonts w:cs="Times New Roman"/>
          <w:sz w:val="24"/>
          <w:szCs w:val="24"/>
        </w:rPr>
        <w:t xml:space="preserve">ced the DSG </w:t>
      </w:r>
      <w:r>
        <w:rPr>
          <w:rFonts w:cs="Times New Roman"/>
          <w:sz w:val="24"/>
          <w:szCs w:val="24"/>
        </w:rPr>
        <w:t xml:space="preserve">allocation on </w:t>
      </w:r>
      <w:r w:rsidR="00FE5CC9" w:rsidRPr="008E0578">
        <w:rPr>
          <w:rFonts w:cs="Times New Roman"/>
          <w:sz w:val="24"/>
          <w:szCs w:val="24"/>
        </w:rPr>
        <w:t>1</w:t>
      </w:r>
      <w:r w:rsidR="008E0578" w:rsidRPr="008E0578">
        <w:rPr>
          <w:rFonts w:cs="Times New Roman"/>
          <w:sz w:val="24"/>
          <w:szCs w:val="24"/>
        </w:rPr>
        <w:t>6</w:t>
      </w:r>
      <w:r w:rsidRPr="008E0578">
        <w:rPr>
          <w:rFonts w:cs="Times New Roman"/>
          <w:sz w:val="24"/>
          <w:szCs w:val="24"/>
          <w:vertAlign w:val="superscript"/>
        </w:rPr>
        <w:t>th</w:t>
      </w:r>
      <w:r w:rsidR="009F5FE6" w:rsidRPr="008E0578">
        <w:rPr>
          <w:rFonts w:cs="Times New Roman"/>
          <w:sz w:val="24"/>
          <w:szCs w:val="24"/>
        </w:rPr>
        <w:t xml:space="preserve"> </w:t>
      </w:r>
      <w:r w:rsidR="008E0578" w:rsidRPr="008E0578">
        <w:rPr>
          <w:rFonts w:cs="Times New Roman"/>
          <w:sz w:val="24"/>
          <w:szCs w:val="24"/>
        </w:rPr>
        <w:t>December 2021</w:t>
      </w:r>
      <w:r w:rsidR="00D94467">
        <w:rPr>
          <w:rFonts w:cs="Times New Roman"/>
          <w:sz w:val="24"/>
          <w:szCs w:val="24"/>
        </w:rPr>
        <w:t>, and</w:t>
      </w:r>
      <w:r>
        <w:rPr>
          <w:rFonts w:cs="Times New Roman"/>
          <w:sz w:val="24"/>
          <w:szCs w:val="24"/>
        </w:rPr>
        <w:t xml:space="preserve"> Merton’s allocatio</w:t>
      </w:r>
      <w:r w:rsidR="00404639">
        <w:rPr>
          <w:rFonts w:cs="Times New Roman"/>
          <w:sz w:val="24"/>
          <w:szCs w:val="24"/>
        </w:rPr>
        <w:t xml:space="preserve">n </w:t>
      </w:r>
      <w:r w:rsidR="00007962">
        <w:rPr>
          <w:rFonts w:cs="Times New Roman"/>
          <w:sz w:val="24"/>
          <w:szCs w:val="24"/>
        </w:rPr>
        <w:t xml:space="preserve">is </w:t>
      </w:r>
      <w:r w:rsidR="00404639">
        <w:rPr>
          <w:rFonts w:cs="Times New Roman"/>
          <w:sz w:val="24"/>
          <w:szCs w:val="24"/>
        </w:rPr>
        <w:t>split over the f</w:t>
      </w:r>
      <w:r w:rsidR="00FE5CC9">
        <w:rPr>
          <w:rFonts w:cs="Times New Roman"/>
          <w:sz w:val="24"/>
          <w:szCs w:val="24"/>
        </w:rPr>
        <w:t>our</w:t>
      </w:r>
      <w:r w:rsidR="00B3564D">
        <w:rPr>
          <w:rFonts w:cs="Times New Roman"/>
          <w:sz w:val="24"/>
          <w:szCs w:val="24"/>
        </w:rPr>
        <w:t xml:space="preserve"> blocks</w:t>
      </w:r>
      <w:r>
        <w:rPr>
          <w:rFonts w:cs="Times New Roman"/>
          <w:sz w:val="24"/>
          <w:szCs w:val="24"/>
        </w:rPr>
        <w:t xml:space="preserve"> </w:t>
      </w:r>
      <w:r w:rsidR="00D94467">
        <w:rPr>
          <w:rFonts w:cs="Times New Roman"/>
          <w:sz w:val="24"/>
          <w:szCs w:val="24"/>
        </w:rPr>
        <w:t>as Table1 below</w:t>
      </w:r>
      <w:r w:rsidR="001E4A61">
        <w:rPr>
          <w:rFonts w:cs="Times New Roman"/>
          <w:sz w:val="24"/>
          <w:szCs w:val="24"/>
        </w:rPr>
        <w:t xml:space="preserve"> and there have been no changes since 13</w:t>
      </w:r>
      <w:r w:rsidR="001E4A61" w:rsidRPr="001E4A61">
        <w:rPr>
          <w:rFonts w:cs="Times New Roman"/>
          <w:sz w:val="24"/>
          <w:szCs w:val="24"/>
          <w:vertAlign w:val="superscript"/>
        </w:rPr>
        <w:t>th</w:t>
      </w:r>
      <w:r w:rsidR="001E4A61">
        <w:rPr>
          <w:rFonts w:cs="Times New Roman"/>
          <w:sz w:val="24"/>
          <w:szCs w:val="24"/>
        </w:rPr>
        <w:t xml:space="preserve"> January reporting</w:t>
      </w:r>
      <w:r w:rsidR="00D94467">
        <w:rPr>
          <w:rFonts w:cs="Times New Roman"/>
          <w:sz w:val="24"/>
          <w:szCs w:val="24"/>
        </w:rPr>
        <w:t>:</w:t>
      </w:r>
    </w:p>
    <w:p w14:paraId="17885D93" w14:textId="77777777" w:rsidR="00673EDC" w:rsidRPr="00530617" w:rsidRDefault="00673EDC" w:rsidP="00673EDC">
      <w:pPr>
        <w:pStyle w:val="BodyTextIndent3"/>
        <w:ind w:left="709"/>
        <w:jc w:val="both"/>
        <w:rPr>
          <w:rFonts w:cs="Times New Roman"/>
          <w:sz w:val="24"/>
          <w:szCs w:val="24"/>
        </w:rPr>
      </w:pPr>
    </w:p>
    <w:tbl>
      <w:tblPr>
        <w:tblW w:w="8743" w:type="dxa"/>
        <w:tblInd w:w="699" w:type="dxa"/>
        <w:tblLook w:val="04A0" w:firstRow="1" w:lastRow="0" w:firstColumn="1" w:lastColumn="0" w:noHBand="0" w:noVBand="1"/>
      </w:tblPr>
      <w:tblGrid>
        <w:gridCol w:w="4561"/>
        <w:gridCol w:w="1600"/>
        <w:gridCol w:w="1600"/>
        <w:gridCol w:w="760"/>
        <w:gridCol w:w="222"/>
      </w:tblGrid>
      <w:tr w:rsidR="008A3C92" w14:paraId="3348B9E4" w14:textId="77777777" w:rsidTr="008A3C92">
        <w:trPr>
          <w:gridAfter w:val="1"/>
          <w:wAfter w:w="222" w:type="dxa"/>
          <w:trHeight w:val="370"/>
        </w:trPr>
        <w:tc>
          <w:tcPr>
            <w:tcW w:w="85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bottom"/>
            <w:hideMark/>
          </w:tcPr>
          <w:p w14:paraId="4ED09749" w14:textId="77777777" w:rsidR="008A3C92" w:rsidRDefault="008A3C92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TABLE 1 - DEDICATED SCHOOLS GRANT ALLOCATIONS </w:t>
            </w:r>
          </w:p>
        </w:tc>
      </w:tr>
      <w:tr w:rsidR="008A3C92" w14:paraId="6F0DF748" w14:textId="77777777" w:rsidTr="008A3C92">
        <w:trPr>
          <w:gridAfter w:val="1"/>
          <w:wAfter w:w="222" w:type="dxa"/>
          <w:trHeight w:val="510"/>
        </w:trPr>
        <w:tc>
          <w:tcPr>
            <w:tcW w:w="4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081028AA" w14:textId="77777777" w:rsidR="008A3C92" w:rsidRDefault="008A3C92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Description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6EF4A426" w14:textId="77777777" w:rsidR="008A3C92" w:rsidRDefault="008A3C92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2022/23 £'000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3A4A2DF5" w14:textId="77777777" w:rsidR="008A3C92" w:rsidRDefault="008A3C92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2021/22 £'000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4AD1D610" w14:textId="77777777" w:rsidR="008A3C92" w:rsidRDefault="008A3C92">
            <w:pPr>
              <w:jc w:val="center"/>
              <w:rPr>
                <w:rFonts w:ascii="Small font" w:hAnsi="Small font" w:cs="Calibri"/>
                <w:b/>
                <w:bCs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Small font" w:hAnsi="Small font" w:cs="Calibri"/>
                <w:b/>
                <w:bCs/>
                <w:i/>
                <w:iCs/>
                <w:color w:val="FFFFFF"/>
                <w:sz w:val="12"/>
                <w:szCs w:val="12"/>
              </w:rPr>
              <w:t>% increase</w:t>
            </w:r>
          </w:p>
        </w:tc>
      </w:tr>
      <w:tr w:rsidR="008A3C92" w14:paraId="66C887CB" w14:textId="77777777" w:rsidTr="008A3C92">
        <w:trPr>
          <w:trHeight w:val="320"/>
        </w:trPr>
        <w:tc>
          <w:tcPr>
            <w:tcW w:w="4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46C56" w14:textId="77777777" w:rsidR="008A3C92" w:rsidRDefault="008A3C92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CD75D" w14:textId="77777777" w:rsidR="008A3C92" w:rsidRDefault="008A3C92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EE67F" w14:textId="77777777" w:rsidR="008A3C92" w:rsidRDefault="008A3C92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D7C90" w14:textId="77777777" w:rsidR="008A3C92" w:rsidRDefault="008A3C92">
            <w:pPr>
              <w:rPr>
                <w:rFonts w:ascii="Small font" w:hAnsi="Small font" w:cs="Calibri"/>
                <w:b/>
                <w:bCs/>
                <w:i/>
                <w:iCs/>
                <w:color w:val="FFFFFF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85C4" w14:textId="77777777" w:rsidR="008A3C92" w:rsidRDefault="008A3C92">
            <w:pPr>
              <w:jc w:val="center"/>
              <w:rPr>
                <w:rFonts w:ascii="Small font" w:hAnsi="Small font" w:cs="Calibri"/>
                <w:b/>
                <w:bCs/>
                <w:i/>
                <w:iCs/>
                <w:color w:val="FFFFFF"/>
                <w:sz w:val="12"/>
                <w:szCs w:val="12"/>
              </w:rPr>
            </w:pPr>
          </w:p>
        </w:tc>
      </w:tr>
      <w:tr w:rsidR="008A3C92" w14:paraId="34DCCE8F" w14:textId="77777777" w:rsidTr="008A3C92">
        <w:trPr>
          <w:trHeight w:val="320"/>
        </w:trPr>
        <w:tc>
          <w:tcPr>
            <w:tcW w:w="4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E5D8C" w14:textId="77777777" w:rsidR="008A3C92" w:rsidRDefault="008A3C9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Schools Block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7A5CA" w14:textId="77777777" w:rsidR="008A3C92" w:rsidRDefault="008A3C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139,774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01FBB" w14:textId="77777777" w:rsidR="008A3C92" w:rsidRDefault="008A3C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137,499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E319C" w14:textId="77777777" w:rsidR="008A3C92" w:rsidRDefault="008A3C92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2%</w:t>
            </w:r>
          </w:p>
        </w:tc>
        <w:tc>
          <w:tcPr>
            <w:tcW w:w="222" w:type="dxa"/>
            <w:vAlign w:val="center"/>
            <w:hideMark/>
          </w:tcPr>
          <w:p w14:paraId="6CE1FE11" w14:textId="77777777" w:rsidR="008A3C92" w:rsidRDefault="008A3C92">
            <w:pPr>
              <w:rPr>
                <w:sz w:val="20"/>
                <w:szCs w:val="20"/>
              </w:rPr>
            </w:pPr>
          </w:p>
        </w:tc>
      </w:tr>
      <w:tr w:rsidR="008A3C92" w14:paraId="53951BD7" w14:textId="77777777" w:rsidTr="008A3C92">
        <w:trPr>
          <w:trHeight w:val="320"/>
        </w:trPr>
        <w:tc>
          <w:tcPr>
            <w:tcW w:w="4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D0B82" w14:textId="77777777" w:rsidR="008A3C92" w:rsidRDefault="008A3C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Central Schools Services Block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F3F9C" w14:textId="77777777" w:rsidR="008A3C92" w:rsidRDefault="008A3C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82528" w14:textId="77777777" w:rsidR="008A3C92" w:rsidRDefault="008A3C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1,094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62F12" w14:textId="77777777" w:rsidR="008A3C92" w:rsidRDefault="008A3C92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1%</w:t>
            </w:r>
          </w:p>
        </w:tc>
        <w:tc>
          <w:tcPr>
            <w:tcW w:w="222" w:type="dxa"/>
            <w:vAlign w:val="center"/>
            <w:hideMark/>
          </w:tcPr>
          <w:p w14:paraId="2AD8A094" w14:textId="77777777" w:rsidR="008A3C92" w:rsidRDefault="008A3C92">
            <w:pPr>
              <w:rPr>
                <w:sz w:val="20"/>
                <w:szCs w:val="20"/>
              </w:rPr>
            </w:pPr>
          </w:p>
        </w:tc>
      </w:tr>
      <w:tr w:rsidR="008A3C92" w14:paraId="215EFE22" w14:textId="77777777" w:rsidTr="008A3C92">
        <w:trPr>
          <w:trHeight w:val="330"/>
        </w:trPr>
        <w:tc>
          <w:tcPr>
            <w:tcW w:w="4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9EB4A" w14:textId="77777777" w:rsidR="008A3C92" w:rsidRDefault="008A3C9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Early Years Block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423BE" w14:textId="77777777" w:rsidR="008A3C92" w:rsidRDefault="008A3C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15,486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BE9CB" w14:textId="77777777" w:rsidR="008A3C92" w:rsidRDefault="008A3C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16,518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4EC50" w14:textId="77777777" w:rsidR="008A3C92" w:rsidRDefault="008A3C92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-6%</w:t>
            </w:r>
          </w:p>
        </w:tc>
        <w:tc>
          <w:tcPr>
            <w:tcW w:w="222" w:type="dxa"/>
            <w:vAlign w:val="center"/>
            <w:hideMark/>
          </w:tcPr>
          <w:p w14:paraId="272A6B31" w14:textId="77777777" w:rsidR="008A3C92" w:rsidRDefault="008A3C92">
            <w:pPr>
              <w:rPr>
                <w:sz w:val="20"/>
                <w:szCs w:val="20"/>
              </w:rPr>
            </w:pPr>
          </w:p>
        </w:tc>
      </w:tr>
      <w:tr w:rsidR="008A3C92" w14:paraId="2E18CBF3" w14:textId="77777777" w:rsidTr="008A3C92">
        <w:trPr>
          <w:trHeight w:val="320"/>
        </w:trPr>
        <w:tc>
          <w:tcPr>
            <w:tcW w:w="4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83531" w14:textId="77777777" w:rsidR="008A3C92" w:rsidRDefault="008A3C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High Needs Block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D86A5" w14:textId="77777777" w:rsidR="008A3C92" w:rsidRDefault="008A3C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43,161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34CB7" w14:textId="77777777" w:rsidR="008A3C92" w:rsidRDefault="008A3C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40,081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31485" w14:textId="77777777" w:rsidR="008A3C92" w:rsidRDefault="008A3C92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8%</w:t>
            </w:r>
          </w:p>
        </w:tc>
        <w:tc>
          <w:tcPr>
            <w:tcW w:w="222" w:type="dxa"/>
            <w:vAlign w:val="center"/>
            <w:hideMark/>
          </w:tcPr>
          <w:p w14:paraId="2B671EE4" w14:textId="77777777" w:rsidR="008A3C92" w:rsidRDefault="008A3C92">
            <w:pPr>
              <w:rPr>
                <w:sz w:val="20"/>
                <w:szCs w:val="20"/>
              </w:rPr>
            </w:pPr>
          </w:p>
        </w:tc>
      </w:tr>
      <w:tr w:rsidR="008A3C92" w14:paraId="7A88239D" w14:textId="77777777" w:rsidTr="008A3C92">
        <w:trPr>
          <w:trHeight w:val="320"/>
        </w:trPr>
        <w:tc>
          <w:tcPr>
            <w:tcW w:w="4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0854E8D2" w14:textId="77777777" w:rsidR="008A3C92" w:rsidRDefault="008A3C92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Total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3C7474F7" w14:textId="77777777" w:rsidR="008A3C92" w:rsidRDefault="008A3C92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199,526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5AB7F5CE" w14:textId="77777777" w:rsidR="008A3C92" w:rsidRDefault="008A3C92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195,192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5E5DC403" w14:textId="77777777" w:rsidR="008A3C92" w:rsidRDefault="008A3C92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6%</w:t>
            </w:r>
          </w:p>
        </w:tc>
        <w:tc>
          <w:tcPr>
            <w:tcW w:w="222" w:type="dxa"/>
            <w:vAlign w:val="center"/>
            <w:hideMark/>
          </w:tcPr>
          <w:p w14:paraId="4E35A1AC" w14:textId="77777777" w:rsidR="008A3C92" w:rsidRDefault="008A3C92">
            <w:pPr>
              <w:rPr>
                <w:sz w:val="20"/>
                <w:szCs w:val="20"/>
              </w:rPr>
            </w:pPr>
          </w:p>
        </w:tc>
      </w:tr>
      <w:tr w:rsidR="008A3C92" w14:paraId="0B211111" w14:textId="77777777" w:rsidTr="008A3C92">
        <w:trPr>
          <w:trHeight w:val="320"/>
        </w:trPr>
        <w:tc>
          <w:tcPr>
            <w:tcW w:w="4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B3FF6" w14:textId="77777777" w:rsidR="008A3C92" w:rsidRDefault="008A3C9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Academy recoupment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19902" w14:textId="77777777" w:rsidR="008A3C92" w:rsidRDefault="008A3C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-33,194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7B6FF" w14:textId="77777777" w:rsidR="008A3C92" w:rsidRDefault="008A3C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-30,446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4233D" w14:textId="77777777" w:rsidR="008A3C92" w:rsidRDefault="008A3C92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9%</w:t>
            </w:r>
          </w:p>
        </w:tc>
        <w:tc>
          <w:tcPr>
            <w:tcW w:w="222" w:type="dxa"/>
            <w:vAlign w:val="center"/>
            <w:hideMark/>
          </w:tcPr>
          <w:p w14:paraId="0C78A365" w14:textId="77777777" w:rsidR="008A3C92" w:rsidRDefault="008A3C92">
            <w:pPr>
              <w:rPr>
                <w:sz w:val="20"/>
                <w:szCs w:val="20"/>
              </w:rPr>
            </w:pPr>
          </w:p>
        </w:tc>
      </w:tr>
      <w:tr w:rsidR="008A3C92" w14:paraId="384E497A" w14:textId="77777777" w:rsidTr="008A3C92">
        <w:trPr>
          <w:trHeight w:val="320"/>
        </w:trPr>
        <w:tc>
          <w:tcPr>
            <w:tcW w:w="4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0E987592" w14:textId="77777777" w:rsidR="008A3C92" w:rsidRDefault="008A3C92">
            <w:pPr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Final allocation for the year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09E324F4" w14:textId="77777777" w:rsidR="008A3C92" w:rsidRDefault="008A3C92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166,332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6A0D5FFB" w14:textId="77777777" w:rsidR="008A3C92" w:rsidRDefault="008A3C92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164,746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1E281AFE" w14:textId="77777777" w:rsidR="008A3C92" w:rsidRDefault="008A3C92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5%</w:t>
            </w:r>
          </w:p>
        </w:tc>
        <w:tc>
          <w:tcPr>
            <w:tcW w:w="222" w:type="dxa"/>
            <w:vAlign w:val="center"/>
            <w:hideMark/>
          </w:tcPr>
          <w:p w14:paraId="03A050F4" w14:textId="77777777" w:rsidR="008A3C92" w:rsidRDefault="008A3C92">
            <w:pPr>
              <w:rPr>
                <w:sz w:val="20"/>
                <w:szCs w:val="20"/>
              </w:rPr>
            </w:pPr>
          </w:p>
        </w:tc>
      </w:tr>
      <w:tr w:rsidR="008A3C92" w14:paraId="25E5093F" w14:textId="77777777" w:rsidTr="008A3C92">
        <w:trPr>
          <w:trHeight w:val="315"/>
        </w:trPr>
        <w:tc>
          <w:tcPr>
            <w:tcW w:w="4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5A6F0" w14:textId="77777777" w:rsidR="008A3C92" w:rsidRDefault="008A3C92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Overall % increase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201F5" w14:textId="77777777" w:rsidR="008A3C92" w:rsidRDefault="008A3C92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1D366" w14:textId="77777777" w:rsidR="008A3C92" w:rsidRDefault="008A3C92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A796CB" w14:textId="77777777" w:rsidR="008A3C92" w:rsidRDefault="008A3C92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2550C011" w14:textId="77777777" w:rsidR="008A3C92" w:rsidRDefault="008A3C92">
            <w:pPr>
              <w:rPr>
                <w:sz w:val="20"/>
                <w:szCs w:val="20"/>
              </w:rPr>
            </w:pPr>
          </w:p>
        </w:tc>
      </w:tr>
    </w:tbl>
    <w:p w14:paraId="1B750927" w14:textId="45D17CEC" w:rsidR="0041573F" w:rsidRDefault="0041573F" w:rsidP="008A3C92">
      <w:pPr>
        <w:pStyle w:val="BodyTextIndent3"/>
        <w:ind w:left="709"/>
        <w:jc w:val="both"/>
        <w:rPr>
          <w:rFonts w:cs="Times New Roman"/>
          <w:sz w:val="24"/>
          <w:szCs w:val="24"/>
        </w:rPr>
      </w:pPr>
    </w:p>
    <w:p w14:paraId="6A97FA4B" w14:textId="094D07AD" w:rsidR="00530617" w:rsidRDefault="00530617" w:rsidP="00530617">
      <w:pPr>
        <w:pStyle w:val="BodyText"/>
        <w:spacing w:after="0"/>
        <w:ind w:left="709"/>
        <w:jc w:val="both"/>
        <w:rPr>
          <w:rFonts w:ascii="Arial" w:hAnsi="Arial"/>
        </w:rPr>
      </w:pPr>
    </w:p>
    <w:p w14:paraId="326413C8" w14:textId="252CFD75" w:rsidR="00D94467" w:rsidRPr="00617705" w:rsidRDefault="00CD226C" w:rsidP="00BD2B9E">
      <w:pPr>
        <w:pStyle w:val="BodyText"/>
        <w:numPr>
          <w:ilvl w:val="1"/>
          <w:numId w:val="3"/>
        </w:numPr>
        <w:spacing w:after="0"/>
        <w:ind w:left="709" w:hanging="709"/>
        <w:jc w:val="both"/>
        <w:rPr>
          <w:rFonts w:ascii="Arial" w:hAnsi="Arial"/>
        </w:rPr>
      </w:pPr>
      <w:r w:rsidRPr="00617705">
        <w:rPr>
          <w:rFonts w:ascii="Arial" w:hAnsi="Arial" w:cs="Arial"/>
        </w:rPr>
        <w:t>The DSG allocation for 2022</w:t>
      </w:r>
      <w:r w:rsidR="00D94467" w:rsidRPr="00617705">
        <w:rPr>
          <w:rFonts w:ascii="Arial" w:hAnsi="Arial" w:cs="Arial"/>
        </w:rPr>
        <w:t>/</w:t>
      </w:r>
      <w:r w:rsidR="005C6E23" w:rsidRPr="00617705">
        <w:rPr>
          <w:rFonts w:ascii="Arial" w:hAnsi="Arial" w:cs="Arial"/>
        </w:rPr>
        <w:t xml:space="preserve">23 </w:t>
      </w:r>
      <w:r w:rsidR="00DE5682">
        <w:rPr>
          <w:rFonts w:ascii="Arial" w:hAnsi="Arial" w:cs="Arial"/>
        </w:rPr>
        <w:t>and 2021-22</w:t>
      </w:r>
      <w:r w:rsidR="00A225FA">
        <w:rPr>
          <w:rFonts w:ascii="Arial" w:hAnsi="Arial" w:cs="Arial"/>
        </w:rPr>
        <w:t xml:space="preserve"> both</w:t>
      </w:r>
      <w:r w:rsidR="00617705" w:rsidRPr="00617705">
        <w:rPr>
          <w:rFonts w:ascii="Arial" w:hAnsi="Arial" w:cs="Arial"/>
        </w:rPr>
        <w:t xml:space="preserve"> </w:t>
      </w:r>
      <w:r w:rsidR="00E55918" w:rsidRPr="00617705">
        <w:rPr>
          <w:rFonts w:ascii="Arial" w:hAnsi="Arial" w:cs="Arial"/>
        </w:rPr>
        <w:t>includes</w:t>
      </w:r>
      <w:r w:rsidR="00617705" w:rsidRPr="00617705">
        <w:rPr>
          <w:rFonts w:ascii="Arial" w:hAnsi="Arial" w:cs="Arial"/>
        </w:rPr>
        <w:t xml:space="preserve"> the</w:t>
      </w:r>
      <w:r w:rsidR="00D94467" w:rsidRPr="00617705">
        <w:rPr>
          <w:rFonts w:ascii="Arial" w:hAnsi="Arial" w:cs="Arial"/>
        </w:rPr>
        <w:t xml:space="preserve"> allocation for the Teachers’ Pay Grant (TPG) and Teachers’ Pension Employer Contribution Grant (TP</w:t>
      </w:r>
      <w:r w:rsidR="00036376">
        <w:rPr>
          <w:rFonts w:ascii="Arial" w:hAnsi="Arial" w:cs="Arial"/>
        </w:rPr>
        <w:t xml:space="preserve">ECG) </w:t>
      </w:r>
      <w:r w:rsidR="00B571DA">
        <w:rPr>
          <w:rFonts w:ascii="Arial" w:hAnsi="Arial" w:cs="Arial"/>
        </w:rPr>
        <w:t xml:space="preserve">within the </w:t>
      </w:r>
      <w:r w:rsidR="00617705" w:rsidRPr="00617705">
        <w:rPr>
          <w:rFonts w:ascii="Arial" w:hAnsi="Arial" w:cs="Arial"/>
        </w:rPr>
        <w:t>DSG school block baselin</w:t>
      </w:r>
      <w:r w:rsidR="00E55918" w:rsidRPr="00617705">
        <w:rPr>
          <w:rFonts w:ascii="Arial" w:hAnsi="Arial" w:cs="Arial"/>
        </w:rPr>
        <w:t xml:space="preserve">e. </w:t>
      </w:r>
    </w:p>
    <w:p w14:paraId="71D22246" w14:textId="77777777" w:rsidR="00617705" w:rsidRPr="00617705" w:rsidRDefault="00617705" w:rsidP="00617705">
      <w:pPr>
        <w:pStyle w:val="BodyText"/>
        <w:spacing w:after="0"/>
        <w:ind w:left="709"/>
        <w:jc w:val="both"/>
        <w:rPr>
          <w:rFonts w:ascii="Arial" w:hAnsi="Arial"/>
        </w:rPr>
      </w:pPr>
    </w:p>
    <w:p w14:paraId="202A59A5" w14:textId="0BD4F375" w:rsidR="00617705" w:rsidRPr="00617705" w:rsidRDefault="00EE12EC" w:rsidP="00BD2B9E">
      <w:pPr>
        <w:pStyle w:val="BodyText"/>
        <w:numPr>
          <w:ilvl w:val="1"/>
          <w:numId w:val="3"/>
        </w:numPr>
        <w:spacing w:after="0"/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As previously reported </w:t>
      </w:r>
      <w:r w:rsidR="005C6E23">
        <w:rPr>
          <w:rFonts w:ascii="Arial" w:hAnsi="Arial"/>
        </w:rPr>
        <w:t>on</w:t>
      </w:r>
      <w:r>
        <w:rPr>
          <w:rFonts w:ascii="Arial" w:hAnsi="Arial"/>
        </w:rPr>
        <w:t xml:space="preserve"> the </w:t>
      </w:r>
      <w:r w:rsidR="005C6E23">
        <w:rPr>
          <w:rFonts w:ascii="Arial" w:hAnsi="Arial"/>
        </w:rPr>
        <w:t>13</w:t>
      </w:r>
      <w:r w:rsidR="005C6E23" w:rsidRPr="00435D60">
        <w:rPr>
          <w:rFonts w:ascii="Arial" w:hAnsi="Arial"/>
          <w:vertAlign w:val="superscript"/>
        </w:rPr>
        <w:t>th of</w:t>
      </w:r>
      <w:r w:rsidR="00435D60">
        <w:rPr>
          <w:rFonts w:ascii="Arial" w:hAnsi="Arial"/>
        </w:rPr>
        <w:t xml:space="preserve"> </w:t>
      </w:r>
      <w:r>
        <w:rPr>
          <w:rFonts w:ascii="Arial" w:hAnsi="Arial"/>
        </w:rPr>
        <w:t xml:space="preserve">January meeting </w:t>
      </w:r>
      <w:r w:rsidR="00B952BF">
        <w:rPr>
          <w:rFonts w:ascii="Arial" w:hAnsi="Arial"/>
        </w:rPr>
        <w:t xml:space="preserve">that </w:t>
      </w:r>
      <w:r w:rsidR="00C7415A">
        <w:rPr>
          <w:rFonts w:ascii="Arial" w:hAnsi="Arial"/>
        </w:rPr>
        <w:t>f</w:t>
      </w:r>
      <w:r w:rsidR="00617705">
        <w:rPr>
          <w:rFonts w:ascii="Arial" w:hAnsi="Arial"/>
        </w:rPr>
        <w:t xml:space="preserve">rom 2022/23 the National and </w:t>
      </w:r>
      <w:r w:rsidR="00A75E71">
        <w:rPr>
          <w:rFonts w:ascii="Arial" w:hAnsi="Arial"/>
        </w:rPr>
        <w:t>Non-Domestic</w:t>
      </w:r>
      <w:r w:rsidR="00617705">
        <w:rPr>
          <w:rFonts w:ascii="Arial" w:hAnsi="Arial"/>
        </w:rPr>
        <w:t xml:space="preserve"> Rates (NNDR) payments will </w:t>
      </w:r>
      <w:r w:rsidR="00C7415A" w:rsidRPr="00C7415A">
        <w:rPr>
          <w:rFonts w:ascii="Arial" w:hAnsi="Arial"/>
          <w:b/>
          <w:bCs/>
          <w:u w:val="single"/>
        </w:rPr>
        <w:t>NOT</w:t>
      </w:r>
      <w:r w:rsidR="00C7415A">
        <w:rPr>
          <w:rFonts w:ascii="Arial" w:hAnsi="Arial"/>
        </w:rPr>
        <w:t xml:space="preserve"> </w:t>
      </w:r>
      <w:r w:rsidR="00617705">
        <w:rPr>
          <w:rFonts w:ascii="Arial" w:hAnsi="Arial"/>
        </w:rPr>
        <w:t xml:space="preserve">be administered by the Education and Skills Funding Agency (ESFA) </w:t>
      </w:r>
      <w:r w:rsidR="00313AFF">
        <w:rPr>
          <w:rFonts w:ascii="Arial" w:hAnsi="Arial"/>
        </w:rPr>
        <w:t>on behalf of</w:t>
      </w:r>
      <w:r w:rsidR="00617705">
        <w:rPr>
          <w:rFonts w:ascii="Arial" w:hAnsi="Arial"/>
        </w:rPr>
        <w:t xml:space="preserve"> </w:t>
      </w:r>
      <w:r w:rsidR="00A605E4">
        <w:rPr>
          <w:rFonts w:ascii="Arial" w:hAnsi="Arial"/>
        </w:rPr>
        <w:t xml:space="preserve">schools </w:t>
      </w:r>
      <w:r w:rsidR="00313AFF">
        <w:rPr>
          <w:rFonts w:ascii="Arial" w:hAnsi="Arial"/>
        </w:rPr>
        <w:t xml:space="preserve">and schools </w:t>
      </w:r>
      <w:r w:rsidR="00A605E4">
        <w:rPr>
          <w:rFonts w:ascii="Arial" w:hAnsi="Arial"/>
        </w:rPr>
        <w:t xml:space="preserve">will </w:t>
      </w:r>
      <w:r w:rsidR="00B952BF">
        <w:rPr>
          <w:rFonts w:ascii="Arial" w:hAnsi="Arial"/>
        </w:rPr>
        <w:t>still b</w:t>
      </w:r>
      <w:r w:rsidR="00A605E4">
        <w:rPr>
          <w:rFonts w:ascii="Arial" w:hAnsi="Arial"/>
        </w:rPr>
        <w:t xml:space="preserve">e required to administer (pay) </w:t>
      </w:r>
      <w:r w:rsidR="00617705">
        <w:rPr>
          <w:rFonts w:ascii="Arial" w:hAnsi="Arial"/>
        </w:rPr>
        <w:t>t</w:t>
      </w:r>
      <w:r w:rsidR="00B571DA">
        <w:rPr>
          <w:rFonts w:ascii="Arial" w:hAnsi="Arial"/>
        </w:rPr>
        <w:t xml:space="preserve">he rates </w:t>
      </w:r>
      <w:r w:rsidR="00A605E4">
        <w:rPr>
          <w:rFonts w:ascii="Arial" w:hAnsi="Arial"/>
        </w:rPr>
        <w:t>as in previous years</w:t>
      </w:r>
      <w:r w:rsidR="006348F4">
        <w:rPr>
          <w:rFonts w:ascii="Arial" w:hAnsi="Arial"/>
        </w:rPr>
        <w:t xml:space="preserve"> from their 2022-23 School budget allocation.</w:t>
      </w:r>
    </w:p>
    <w:p w14:paraId="50651F11" w14:textId="77777777" w:rsidR="00617705" w:rsidRPr="00617705" w:rsidRDefault="00617705" w:rsidP="00617705">
      <w:pPr>
        <w:pStyle w:val="BodyText"/>
        <w:spacing w:after="0"/>
        <w:ind w:left="709"/>
        <w:jc w:val="both"/>
        <w:rPr>
          <w:rFonts w:ascii="Arial" w:hAnsi="Arial"/>
        </w:rPr>
      </w:pPr>
    </w:p>
    <w:p w14:paraId="29604984" w14:textId="5FF2EB73" w:rsidR="007657BC" w:rsidRDefault="007657BC" w:rsidP="00586932">
      <w:pPr>
        <w:pStyle w:val="BodyText"/>
        <w:spacing w:after="0"/>
        <w:ind w:left="709"/>
        <w:jc w:val="both"/>
        <w:rPr>
          <w:rFonts w:ascii="Arial" w:hAnsi="Arial"/>
        </w:rPr>
      </w:pPr>
    </w:p>
    <w:p w14:paraId="053F7E49" w14:textId="6FDC7262" w:rsidR="00B952BF" w:rsidRDefault="00B952BF" w:rsidP="00586932">
      <w:pPr>
        <w:pStyle w:val="BodyText"/>
        <w:spacing w:after="0"/>
        <w:ind w:left="709"/>
        <w:jc w:val="both"/>
        <w:rPr>
          <w:rFonts w:ascii="Arial" w:hAnsi="Arial"/>
        </w:rPr>
      </w:pPr>
    </w:p>
    <w:p w14:paraId="771D1ED2" w14:textId="33345CFE" w:rsidR="00B952BF" w:rsidRDefault="00B952BF" w:rsidP="00586932">
      <w:pPr>
        <w:pStyle w:val="BodyText"/>
        <w:spacing w:after="0"/>
        <w:ind w:left="709"/>
        <w:jc w:val="both"/>
        <w:rPr>
          <w:rFonts w:ascii="Arial" w:hAnsi="Arial"/>
        </w:rPr>
      </w:pPr>
    </w:p>
    <w:p w14:paraId="7AE05C1A" w14:textId="77777777" w:rsidR="00B952BF" w:rsidRDefault="00B952BF" w:rsidP="00586932">
      <w:pPr>
        <w:pStyle w:val="BodyText"/>
        <w:spacing w:after="0"/>
        <w:ind w:left="709"/>
        <w:jc w:val="both"/>
        <w:rPr>
          <w:rFonts w:ascii="Arial" w:hAnsi="Arial"/>
        </w:rPr>
      </w:pPr>
    </w:p>
    <w:p w14:paraId="14E73639" w14:textId="6DC158CE" w:rsidR="000627EF" w:rsidRPr="00673EDC" w:rsidRDefault="00673EDC" w:rsidP="00C86CB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/>
        <w:ind w:left="709"/>
        <w:jc w:val="both"/>
        <w:rPr>
          <w:rFonts w:ascii="Arial" w:hAnsi="Arial"/>
          <w:b/>
        </w:rPr>
      </w:pPr>
      <w:r w:rsidRPr="00673EDC">
        <w:rPr>
          <w:rFonts w:ascii="Arial" w:hAnsi="Arial"/>
          <w:b/>
        </w:rPr>
        <w:t>Recommendation</w:t>
      </w:r>
      <w:r>
        <w:rPr>
          <w:rFonts w:ascii="Arial" w:hAnsi="Arial"/>
          <w:b/>
        </w:rPr>
        <w:t xml:space="preserve"> </w:t>
      </w:r>
      <w:r w:rsidRPr="00673EDC">
        <w:rPr>
          <w:rFonts w:ascii="Arial" w:hAnsi="Arial"/>
          <w:b/>
        </w:rPr>
        <w:t>(a)</w:t>
      </w:r>
    </w:p>
    <w:p w14:paraId="44D0C16E" w14:textId="618B65FD" w:rsidR="00673EDC" w:rsidRDefault="00673EDC" w:rsidP="00C86CB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/>
        <w:ind w:left="709"/>
        <w:jc w:val="both"/>
        <w:rPr>
          <w:rFonts w:ascii="Arial" w:hAnsi="Arial"/>
        </w:rPr>
      </w:pPr>
      <w:r>
        <w:rPr>
          <w:rFonts w:ascii="Arial" w:hAnsi="Arial"/>
        </w:rPr>
        <w:t>School Forum notes the DSG allo</w:t>
      </w:r>
      <w:r w:rsidR="00B13CEE">
        <w:rPr>
          <w:rFonts w:ascii="Arial" w:hAnsi="Arial"/>
        </w:rPr>
        <w:t>cation</w:t>
      </w:r>
      <w:r w:rsidR="00E55918">
        <w:rPr>
          <w:rFonts w:ascii="Arial" w:hAnsi="Arial"/>
        </w:rPr>
        <w:t xml:space="preserve"> for 2022/23</w:t>
      </w:r>
      <w:r w:rsidR="000A1E78">
        <w:rPr>
          <w:rFonts w:ascii="Arial" w:hAnsi="Arial"/>
        </w:rPr>
        <w:t xml:space="preserve"> </w:t>
      </w:r>
      <w:r w:rsidR="00B13CEE">
        <w:rPr>
          <w:rFonts w:ascii="Arial" w:hAnsi="Arial"/>
        </w:rPr>
        <w:t xml:space="preserve">published </w:t>
      </w:r>
      <w:r w:rsidR="00617705">
        <w:rPr>
          <w:rFonts w:ascii="Arial" w:hAnsi="Arial"/>
        </w:rPr>
        <w:t xml:space="preserve">16 </w:t>
      </w:r>
      <w:r w:rsidR="00B13CEE">
        <w:rPr>
          <w:rFonts w:ascii="Arial" w:hAnsi="Arial"/>
        </w:rPr>
        <w:t>December 2021</w:t>
      </w:r>
      <w:r w:rsidR="00E55918">
        <w:rPr>
          <w:rFonts w:ascii="Arial" w:hAnsi="Arial"/>
        </w:rPr>
        <w:t xml:space="preserve"> and </w:t>
      </w:r>
      <w:r w:rsidR="00B13CEE">
        <w:rPr>
          <w:rFonts w:ascii="Arial" w:hAnsi="Arial"/>
        </w:rPr>
        <w:t xml:space="preserve">notes </w:t>
      </w:r>
      <w:r w:rsidR="009D3839">
        <w:rPr>
          <w:rFonts w:ascii="Arial" w:hAnsi="Arial"/>
        </w:rPr>
        <w:t>the</w:t>
      </w:r>
      <w:r w:rsidR="00F80750">
        <w:rPr>
          <w:rFonts w:ascii="Arial" w:hAnsi="Arial"/>
        </w:rPr>
        <w:t>re are no further updates apart from the treatment of NNDR for schools.</w:t>
      </w:r>
      <w:r w:rsidR="008C1258" w:rsidRPr="008C1258">
        <w:rPr>
          <w:b/>
        </w:rPr>
        <w:t xml:space="preserve"> </w:t>
      </w:r>
    </w:p>
    <w:p w14:paraId="370103F2" w14:textId="77777777" w:rsidR="00C86CBD" w:rsidRDefault="00C86CBD" w:rsidP="00C86CB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/>
        <w:ind w:left="709"/>
        <w:jc w:val="both"/>
        <w:rPr>
          <w:rFonts w:ascii="Arial" w:hAnsi="Arial"/>
        </w:rPr>
      </w:pPr>
    </w:p>
    <w:p w14:paraId="7F2A47FA" w14:textId="77777777" w:rsidR="00673EDC" w:rsidRDefault="00673EDC" w:rsidP="00673EDC">
      <w:pPr>
        <w:pStyle w:val="Header"/>
        <w:tabs>
          <w:tab w:val="clear" w:pos="4153"/>
          <w:tab w:val="clear" w:pos="8306"/>
        </w:tabs>
        <w:spacing w:after="120"/>
        <w:ind w:left="720"/>
        <w:rPr>
          <w:b/>
          <w:sz w:val="28"/>
        </w:rPr>
      </w:pPr>
    </w:p>
    <w:p w14:paraId="6DF11089" w14:textId="3FE63FCC" w:rsidR="00904A8D" w:rsidRPr="005A6B8F" w:rsidRDefault="005A6B8F" w:rsidP="005A6B8F">
      <w:pPr>
        <w:pStyle w:val="Header"/>
        <w:numPr>
          <w:ilvl w:val="0"/>
          <w:numId w:val="2"/>
        </w:numPr>
        <w:tabs>
          <w:tab w:val="clear" w:pos="720"/>
          <w:tab w:val="clear" w:pos="4153"/>
          <w:tab w:val="clear" w:pos="8306"/>
        </w:tabs>
        <w:spacing w:after="120"/>
        <w:ind w:hanging="720"/>
        <w:rPr>
          <w:b/>
          <w:sz w:val="28"/>
        </w:rPr>
      </w:pPr>
      <w:r>
        <w:rPr>
          <w:b/>
          <w:sz w:val="28"/>
        </w:rPr>
        <w:t>Schools Block</w:t>
      </w:r>
    </w:p>
    <w:p w14:paraId="541451D4" w14:textId="58146393" w:rsidR="00904A8D" w:rsidRPr="00D327B6" w:rsidRDefault="00CE6F7E" w:rsidP="000C61F6">
      <w:pPr>
        <w:pStyle w:val="Header"/>
        <w:numPr>
          <w:ilvl w:val="1"/>
          <w:numId w:val="2"/>
        </w:numPr>
        <w:tabs>
          <w:tab w:val="clear" w:pos="4153"/>
          <w:tab w:val="clear" w:pos="8306"/>
        </w:tabs>
        <w:ind w:hanging="720"/>
        <w:jc w:val="both"/>
      </w:pPr>
      <w:r>
        <w:rPr>
          <w:szCs w:val="24"/>
        </w:rPr>
        <w:t>As reported to t</w:t>
      </w:r>
      <w:r w:rsidR="00BD3873">
        <w:rPr>
          <w:szCs w:val="24"/>
        </w:rPr>
        <w:t>he</w:t>
      </w:r>
      <w:r w:rsidR="006A3290">
        <w:rPr>
          <w:szCs w:val="24"/>
        </w:rPr>
        <w:t xml:space="preserve"> </w:t>
      </w:r>
      <w:r>
        <w:rPr>
          <w:szCs w:val="24"/>
        </w:rPr>
        <w:t>Schools’ Forum meeting 13</w:t>
      </w:r>
      <w:r w:rsidRPr="00CE6F7E">
        <w:rPr>
          <w:szCs w:val="24"/>
          <w:vertAlign w:val="superscript"/>
        </w:rPr>
        <w:t>th</w:t>
      </w:r>
      <w:r>
        <w:rPr>
          <w:szCs w:val="24"/>
        </w:rPr>
        <w:t xml:space="preserve"> January, the </w:t>
      </w:r>
      <w:r w:rsidR="006A3290">
        <w:rPr>
          <w:szCs w:val="24"/>
        </w:rPr>
        <w:t>Sch</w:t>
      </w:r>
      <w:r w:rsidR="00D06521">
        <w:rPr>
          <w:szCs w:val="24"/>
        </w:rPr>
        <w:t xml:space="preserve">ools Block allocation </w:t>
      </w:r>
      <w:r w:rsidR="005C6E23" w:rsidRPr="00617705">
        <w:rPr>
          <w:szCs w:val="24"/>
        </w:rPr>
        <w:t>of £</w:t>
      </w:r>
      <w:r w:rsidR="00617705" w:rsidRPr="00617705">
        <w:rPr>
          <w:szCs w:val="24"/>
        </w:rPr>
        <w:t>139.774</w:t>
      </w:r>
      <w:r w:rsidR="000627EF" w:rsidRPr="00617705">
        <w:rPr>
          <w:szCs w:val="24"/>
        </w:rPr>
        <w:t>m</w:t>
      </w:r>
      <w:r w:rsidR="000627EF">
        <w:rPr>
          <w:szCs w:val="24"/>
        </w:rPr>
        <w:t xml:space="preserve"> </w:t>
      </w:r>
      <w:r w:rsidR="00BD3873">
        <w:rPr>
          <w:szCs w:val="24"/>
        </w:rPr>
        <w:t>is</w:t>
      </w:r>
      <w:r w:rsidR="007B2F3D">
        <w:rPr>
          <w:szCs w:val="24"/>
        </w:rPr>
        <w:t xml:space="preserve"> split into the following </w:t>
      </w:r>
      <w:r w:rsidR="00C92EB3">
        <w:rPr>
          <w:szCs w:val="24"/>
        </w:rPr>
        <w:t xml:space="preserve">expenditure </w:t>
      </w:r>
      <w:r w:rsidR="00DF3D38">
        <w:rPr>
          <w:szCs w:val="24"/>
        </w:rPr>
        <w:t>types</w:t>
      </w:r>
      <w:r w:rsidR="008F391D">
        <w:rPr>
          <w:szCs w:val="24"/>
        </w:rPr>
        <w:t xml:space="preserve"> as table 2 below</w:t>
      </w:r>
      <w:r w:rsidR="00EB755E">
        <w:rPr>
          <w:szCs w:val="24"/>
        </w:rPr>
        <w:t xml:space="preserve"> and for transparency de-del</w:t>
      </w:r>
      <w:r w:rsidR="00B2629F">
        <w:rPr>
          <w:szCs w:val="24"/>
        </w:rPr>
        <w:t>e</w:t>
      </w:r>
      <w:r w:rsidR="000C61F6">
        <w:rPr>
          <w:szCs w:val="24"/>
        </w:rPr>
        <w:t>g</w:t>
      </w:r>
      <w:r w:rsidR="00EB755E">
        <w:rPr>
          <w:szCs w:val="24"/>
        </w:rPr>
        <w:t xml:space="preserve">ated items </w:t>
      </w:r>
      <w:r w:rsidR="00063D6B">
        <w:rPr>
          <w:szCs w:val="24"/>
        </w:rPr>
        <w:t xml:space="preserve">and per pupil amount </w:t>
      </w:r>
      <w:r w:rsidR="00EB755E">
        <w:rPr>
          <w:szCs w:val="24"/>
        </w:rPr>
        <w:t xml:space="preserve">is confirmed </w:t>
      </w:r>
      <w:r w:rsidR="002C6AEF">
        <w:rPr>
          <w:szCs w:val="24"/>
        </w:rPr>
        <w:t>in table 3 below.</w:t>
      </w:r>
    </w:p>
    <w:p w14:paraId="34CF2805" w14:textId="00D7DC2D" w:rsidR="00D327B6" w:rsidRDefault="00D327B6" w:rsidP="00D327B6">
      <w:pPr>
        <w:pStyle w:val="Header"/>
        <w:tabs>
          <w:tab w:val="clear" w:pos="4153"/>
          <w:tab w:val="clear" w:pos="8306"/>
        </w:tabs>
      </w:pPr>
    </w:p>
    <w:tbl>
      <w:tblPr>
        <w:tblpPr w:leftFromText="181" w:rightFromText="181" w:vertAnchor="text" w:horzAnchor="margin" w:tblpXSpec="center" w:tblpY="24"/>
        <w:tblW w:w="7167" w:type="dxa"/>
        <w:tblLook w:val="04A0" w:firstRow="1" w:lastRow="0" w:firstColumn="1" w:lastColumn="0" w:noHBand="0" w:noVBand="1"/>
      </w:tblPr>
      <w:tblGrid>
        <w:gridCol w:w="3550"/>
        <w:gridCol w:w="1293"/>
        <w:gridCol w:w="1458"/>
        <w:gridCol w:w="866"/>
      </w:tblGrid>
      <w:tr w:rsidR="00D327B6" w14:paraId="7BF639B6" w14:textId="77777777" w:rsidTr="000320EB">
        <w:trPr>
          <w:trHeight w:val="448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6D035BD" w14:textId="77777777" w:rsidR="00D327B6" w:rsidRDefault="00D327B6" w:rsidP="0014076F">
            <w:pPr>
              <w:jc w:val="both"/>
              <w:rPr>
                <w:rFonts w:ascii="Arial" w:hAnsi="Arial" w:cs="Arial"/>
                <w:b/>
                <w:bCs/>
                <w:color w:val="FFFFFF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TABLE 2 - Schools Block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CAA4EA0" w14:textId="6987CEB5" w:rsidR="00D327B6" w:rsidRDefault="00B63F8A" w:rsidP="0014076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2022</w:t>
            </w:r>
            <w:r w:rsidR="00D327B6">
              <w:rPr>
                <w:rFonts w:ascii="Arial" w:hAnsi="Arial" w:cs="Arial"/>
                <w:b/>
                <w:bCs/>
                <w:color w:val="FFFFFF"/>
              </w:rPr>
              <w:t>/2</w:t>
            </w:r>
            <w:r>
              <w:rPr>
                <w:rFonts w:ascii="Arial" w:hAnsi="Arial" w:cs="Arial"/>
                <w:b/>
                <w:bCs/>
                <w:color w:val="FFFFFF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C9759F5" w14:textId="6D4EEBEC" w:rsidR="00D327B6" w:rsidRDefault="00B63F8A" w:rsidP="0014076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2021/22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562D79B" w14:textId="35E49856" w:rsidR="00D327B6" w:rsidRDefault="00D327B6" w:rsidP="0014076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16"/>
                <w:szCs w:val="16"/>
              </w:rPr>
              <w:t xml:space="preserve">% </w:t>
            </w:r>
            <w:r w:rsidR="005C6E23">
              <w:rPr>
                <w:rFonts w:ascii="Arial" w:hAnsi="Arial" w:cs="Arial"/>
                <w:b/>
                <w:bCs/>
                <w:i/>
                <w:iCs/>
                <w:color w:val="FFFFFF"/>
                <w:sz w:val="16"/>
                <w:szCs w:val="16"/>
              </w:rPr>
              <w:t>Increase</w:t>
            </w:r>
          </w:p>
        </w:tc>
      </w:tr>
      <w:tr w:rsidR="00D327B6" w14:paraId="0058AD33" w14:textId="77777777" w:rsidTr="000320EB">
        <w:trPr>
          <w:trHeight w:val="26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010E43E" w14:textId="77777777" w:rsidR="00D327B6" w:rsidRDefault="00D327B6" w:rsidP="0014076F">
            <w:pPr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Description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310F25F" w14:textId="77777777" w:rsidR="00D327B6" w:rsidRDefault="00D327B6" w:rsidP="0014076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£'000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C2EE3CE" w14:textId="77777777" w:rsidR="00D327B6" w:rsidRDefault="00D327B6" w:rsidP="0014076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£'000</w:t>
            </w: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1FA3" w14:textId="77777777" w:rsidR="00D327B6" w:rsidRDefault="00D327B6" w:rsidP="0014076F"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16"/>
                <w:szCs w:val="16"/>
              </w:rPr>
            </w:pPr>
          </w:p>
        </w:tc>
      </w:tr>
      <w:tr w:rsidR="00D327B6" w14:paraId="70620A18" w14:textId="77777777" w:rsidTr="009D3839">
        <w:trPr>
          <w:trHeight w:val="351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301A" w14:textId="40170037" w:rsidR="00D327B6" w:rsidRPr="00116A5F" w:rsidRDefault="00D327B6" w:rsidP="001407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A5F">
              <w:rPr>
                <w:rFonts w:ascii="Arial" w:hAnsi="Arial" w:cs="Arial"/>
                <w:color w:val="000000"/>
                <w:sz w:val="20"/>
                <w:szCs w:val="20"/>
              </w:rPr>
              <w:t>Growth Fund</w:t>
            </w:r>
            <w:r w:rsidR="00865D6F" w:rsidRPr="00116A5F">
              <w:rPr>
                <w:rFonts w:ascii="Arial" w:hAnsi="Arial" w:cs="Arial"/>
                <w:color w:val="000000"/>
                <w:sz w:val="20"/>
                <w:szCs w:val="20"/>
              </w:rPr>
              <w:t>/Falling Rolls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4697" w14:textId="3CF4C49C" w:rsidR="00D327B6" w:rsidRPr="00116A5F" w:rsidRDefault="00D327B6" w:rsidP="001407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A5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="00FB5939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116A5F"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DB5D" w14:textId="75B9F958" w:rsidR="00D327B6" w:rsidRPr="00116A5F" w:rsidRDefault="00B63F8A" w:rsidP="001407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A5F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  <w:r w:rsidR="00D327B6" w:rsidRPr="00116A5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B1D5B" w14:textId="212F4009" w:rsidR="00D327B6" w:rsidRDefault="00FB5939" w:rsidP="0014076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  <w:r w:rsidR="009D63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  <w:r w:rsidR="00D327B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</w:t>
            </w:r>
          </w:p>
        </w:tc>
      </w:tr>
      <w:tr w:rsidR="00D327B6" w14:paraId="10A666B6" w14:textId="77777777" w:rsidTr="00FB5939">
        <w:trPr>
          <w:trHeight w:val="64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215E" w14:textId="1AED41DD" w:rsidR="00D327B6" w:rsidRPr="00116A5F" w:rsidRDefault="00D327B6" w:rsidP="001407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A5F">
              <w:rPr>
                <w:rFonts w:ascii="Arial" w:hAnsi="Arial" w:cs="Arial"/>
                <w:color w:val="000000"/>
                <w:sz w:val="20"/>
                <w:szCs w:val="20"/>
              </w:rPr>
              <w:t>Transfers to the High Needs Block</w:t>
            </w:r>
            <w:r w:rsidR="0014076F" w:rsidRPr="00116A5F">
              <w:rPr>
                <w:rFonts w:ascii="Arial" w:hAnsi="Arial" w:cs="Arial"/>
                <w:color w:val="000000"/>
                <w:sz w:val="20"/>
                <w:szCs w:val="20"/>
              </w:rPr>
              <w:t xml:space="preserve"> (0.5%)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0DA7" w14:textId="5FEBE1C7" w:rsidR="00D327B6" w:rsidRPr="00116A5F" w:rsidRDefault="00D327B6" w:rsidP="001407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A5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="006236D8" w:rsidRPr="00116A5F">
              <w:rPr>
                <w:rFonts w:ascii="Arial" w:hAnsi="Arial" w:cs="Arial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BF46" w14:textId="72E0C66C" w:rsidR="00D327B6" w:rsidRPr="00116A5F" w:rsidRDefault="00B63F8A" w:rsidP="001407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A5F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  <w:r w:rsidR="0014076F" w:rsidRPr="00116A5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A0CB" w14:textId="266901EF" w:rsidR="00D327B6" w:rsidRDefault="0014076F" w:rsidP="0014076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  <w:r w:rsidR="00D327B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</w:t>
            </w:r>
          </w:p>
        </w:tc>
      </w:tr>
      <w:tr w:rsidR="0014076F" w14:paraId="05F5B706" w14:textId="77777777" w:rsidTr="00FB5939">
        <w:trPr>
          <w:trHeight w:val="73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3BC2" w14:textId="260B8CD4" w:rsidR="0014076F" w:rsidRPr="00FB5939" w:rsidRDefault="0014076F" w:rsidP="0014076F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B5939">
              <w:rPr>
                <w:rFonts w:ascii="Arial" w:hAnsi="Arial" w:cs="Arial"/>
                <w:i/>
                <w:color w:val="000000"/>
                <w:sz w:val="20"/>
                <w:szCs w:val="20"/>
              </w:rPr>
              <w:t>Secretary of State approval (cash trsf £500k</w:t>
            </w:r>
            <w:r w:rsidR="000B7ABC" w:rsidRPr="00FB593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to High Needs block</w:t>
            </w:r>
            <w:r w:rsidRPr="00FB5939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  <w:r w:rsidR="000B7ABC" w:rsidRPr="00FB593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3BD9" w14:textId="149A6D14" w:rsidR="0014076F" w:rsidRPr="00FB5939" w:rsidRDefault="00E31BF1" w:rsidP="0014076F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B593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* </w:t>
            </w:r>
            <w:r w:rsidR="0014076F" w:rsidRPr="00FB593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500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4BA6A" w14:textId="17379617" w:rsidR="0014076F" w:rsidRPr="00116A5F" w:rsidRDefault="0014076F" w:rsidP="001407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5264" w14:textId="2DDF4BBF" w:rsidR="0014076F" w:rsidRDefault="00E31BF1" w:rsidP="0014076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0%</w:t>
            </w:r>
          </w:p>
        </w:tc>
      </w:tr>
      <w:tr w:rsidR="00D327B6" w14:paraId="59F6F456" w14:textId="77777777" w:rsidTr="00874AF5">
        <w:trPr>
          <w:trHeight w:val="254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BF1B39" w14:textId="77777777" w:rsidR="00D327B6" w:rsidRPr="00116A5F" w:rsidRDefault="00D327B6" w:rsidP="001407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A5F">
              <w:rPr>
                <w:rFonts w:ascii="Arial" w:hAnsi="Arial" w:cs="Arial"/>
                <w:color w:val="000000"/>
                <w:sz w:val="20"/>
                <w:szCs w:val="20"/>
              </w:rPr>
              <w:t>De-delegated items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844201" w14:textId="6572147A" w:rsidR="00D327B6" w:rsidRPr="00116A5F" w:rsidRDefault="00D327B6" w:rsidP="001407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A5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="00062E50" w:rsidRPr="00116A5F">
              <w:rPr>
                <w:rFonts w:ascii="Arial" w:hAnsi="Arial" w:cs="Arial"/>
                <w:color w:val="000000"/>
                <w:sz w:val="20"/>
                <w:szCs w:val="20"/>
              </w:rPr>
              <w:t>1,910</w:t>
            </w:r>
            <w:r w:rsidRPr="00116A5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CE51A93" w14:textId="3FD9F326" w:rsidR="00D327B6" w:rsidRPr="00116A5F" w:rsidRDefault="00E75B8F" w:rsidP="001407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A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A200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116A5F">
              <w:rPr>
                <w:rFonts w:ascii="Arial" w:hAnsi="Arial" w:cs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C3936C5" w14:textId="14AC61C0" w:rsidR="00D327B6" w:rsidRDefault="002A2005" w:rsidP="0014076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  <w:r w:rsidR="00D327B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</w:t>
            </w:r>
          </w:p>
        </w:tc>
      </w:tr>
      <w:tr w:rsidR="00D327B6" w14:paraId="75774E9B" w14:textId="77777777" w:rsidTr="00FB5939">
        <w:trPr>
          <w:trHeight w:val="49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8019" w14:textId="77777777" w:rsidR="00D327B6" w:rsidRPr="00116A5F" w:rsidRDefault="00D327B6" w:rsidP="001407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A5F">
              <w:rPr>
                <w:rFonts w:ascii="Arial" w:hAnsi="Arial" w:cs="Arial"/>
                <w:color w:val="000000"/>
                <w:sz w:val="20"/>
                <w:szCs w:val="20"/>
              </w:rPr>
              <w:t>Central duties to maintained schools (ESG)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3EC2" w14:textId="0296EAA6" w:rsidR="00D327B6" w:rsidRPr="00116A5F" w:rsidRDefault="00D327B6" w:rsidP="001407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A5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="00B63F8A" w:rsidRPr="00116A5F">
              <w:rPr>
                <w:rFonts w:ascii="Arial" w:hAnsi="Arial" w:cs="Arial"/>
                <w:color w:val="000000"/>
                <w:sz w:val="20"/>
                <w:szCs w:val="20"/>
              </w:rPr>
              <w:t>629</w:t>
            </w:r>
            <w:r w:rsidRPr="00116A5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8619" w14:textId="514B66A0" w:rsidR="00D327B6" w:rsidRPr="00116A5F" w:rsidRDefault="00B63F8A" w:rsidP="001407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A5F">
              <w:rPr>
                <w:rFonts w:ascii="Arial" w:hAnsi="Arial" w:cs="Arial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3CF4" w14:textId="6E6BF04A" w:rsidR="00D327B6" w:rsidRDefault="00B63F8A" w:rsidP="0014076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  <w:r w:rsidR="00D327B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</w:t>
            </w:r>
          </w:p>
        </w:tc>
      </w:tr>
      <w:tr w:rsidR="000320EB" w14:paraId="74297236" w14:textId="77777777" w:rsidTr="00FB5939">
        <w:trPr>
          <w:trHeight w:val="465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74C9" w14:textId="5305F2CA" w:rsidR="000320EB" w:rsidRPr="00116A5F" w:rsidRDefault="000320EB" w:rsidP="000320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A5F">
              <w:rPr>
                <w:rFonts w:ascii="Arial" w:hAnsi="Arial" w:cs="Arial"/>
                <w:color w:val="000000"/>
                <w:sz w:val="20"/>
                <w:szCs w:val="20"/>
              </w:rPr>
              <w:t>Individual School Budgets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E925A" w14:textId="38A2A2D6" w:rsidR="000320EB" w:rsidRPr="00116A5F" w:rsidRDefault="000320EB" w:rsidP="000320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A5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FB5939">
              <w:rPr>
                <w:rFonts w:ascii="Arial" w:hAnsi="Arial" w:cs="Arial"/>
                <w:color w:val="000000"/>
                <w:sz w:val="20"/>
                <w:szCs w:val="20"/>
              </w:rPr>
              <w:t>135,73</w:t>
            </w:r>
            <w:r w:rsidRPr="00116A5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  <w:p w14:paraId="55003330" w14:textId="1166913D" w:rsidR="000320EB" w:rsidRPr="00116A5F" w:rsidRDefault="000320EB" w:rsidP="000320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C5853" w14:textId="7C82A1FC" w:rsidR="000320EB" w:rsidRPr="00116A5F" w:rsidRDefault="002A2005" w:rsidP="000320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133,670</w:t>
            </w:r>
          </w:p>
          <w:p w14:paraId="03B88F22" w14:textId="45D7412E" w:rsidR="000320EB" w:rsidRPr="00116A5F" w:rsidRDefault="000320EB" w:rsidP="000320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242E" w14:textId="77777777" w:rsidR="000320EB" w:rsidRDefault="000320EB" w:rsidP="0014076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4D9C1161" w14:textId="6FE7555F" w:rsidR="000320EB" w:rsidRDefault="006844C4" w:rsidP="0014076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1.5</w:t>
            </w:r>
            <w:r w:rsidR="000320E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</w:t>
            </w:r>
          </w:p>
          <w:p w14:paraId="5A57C4E5" w14:textId="6B243D7B" w:rsidR="000320EB" w:rsidRDefault="000320EB" w:rsidP="005862D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327B6" w14:paraId="4407A1B4" w14:textId="77777777" w:rsidTr="000320EB">
        <w:trPr>
          <w:trHeight w:val="48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750F6678" w14:textId="77777777" w:rsidR="00D327B6" w:rsidRDefault="00D327B6" w:rsidP="0014076F">
            <w:pPr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Total Schools Block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6ADAF650" w14:textId="17BF0063" w:rsidR="00D327B6" w:rsidRDefault="0014076F" w:rsidP="0014076F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139,774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6D284A7A" w14:textId="7486F214" w:rsidR="00D327B6" w:rsidRDefault="00B63F8A" w:rsidP="0014076F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137</w:t>
            </w:r>
            <w:r w:rsidR="00D327B6">
              <w:rPr>
                <w:rFonts w:ascii="Arial" w:hAnsi="Arial" w:cs="Arial"/>
                <w:b/>
                <w:bCs/>
                <w:color w:val="FFFFFF"/>
              </w:rPr>
              <w:t>,</w:t>
            </w:r>
            <w:r>
              <w:rPr>
                <w:rFonts w:ascii="Arial" w:hAnsi="Arial" w:cs="Arial"/>
                <w:b/>
                <w:bCs/>
                <w:color w:val="FFFFFF"/>
              </w:rPr>
              <w:t>49</w:t>
            </w:r>
            <w:r w:rsidR="00D327B6">
              <w:rPr>
                <w:rFonts w:ascii="Arial" w:hAnsi="Arial" w:cs="Arial"/>
                <w:b/>
                <w:bCs/>
                <w:color w:val="FFFFFF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DBE2E6B" w14:textId="2DEF861B" w:rsidR="00D327B6" w:rsidRDefault="00B63F8A" w:rsidP="0014076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  <w:r w:rsidR="00D327B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</w:t>
            </w:r>
          </w:p>
        </w:tc>
      </w:tr>
    </w:tbl>
    <w:p w14:paraId="4E4DC887" w14:textId="77777777" w:rsidR="00D327B6" w:rsidRDefault="00D327B6" w:rsidP="00D327B6">
      <w:pPr>
        <w:pStyle w:val="Header"/>
        <w:tabs>
          <w:tab w:val="clear" w:pos="4153"/>
          <w:tab w:val="clear" w:pos="8306"/>
          <w:tab w:val="left" w:pos="810"/>
        </w:tabs>
      </w:pPr>
      <w:r>
        <w:tab/>
      </w:r>
    </w:p>
    <w:p w14:paraId="74266A1C" w14:textId="0A1E7A7D" w:rsidR="00D327B6" w:rsidRPr="00586932" w:rsidRDefault="00D327B6" w:rsidP="00D327B6">
      <w:pPr>
        <w:pStyle w:val="Header"/>
        <w:tabs>
          <w:tab w:val="clear" w:pos="4153"/>
          <w:tab w:val="clear" w:pos="8306"/>
          <w:tab w:val="left" w:pos="810"/>
        </w:tabs>
      </w:pPr>
    </w:p>
    <w:p w14:paraId="67C76A40" w14:textId="3F31018C" w:rsidR="00D327B6" w:rsidRDefault="00D327B6" w:rsidP="000627EF">
      <w:pPr>
        <w:pStyle w:val="Header"/>
        <w:tabs>
          <w:tab w:val="clear" w:pos="4153"/>
          <w:tab w:val="clear" w:pos="8306"/>
        </w:tabs>
        <w:ind w:left="720"/>
      </w:pPr>
    </w:p>
    <w:p w14:paraId="2A201315" w14:textId="77777777" w:rsidR="00D327B6" w:rsidRPr="00D327B6" w:rsidRDefault="00D327B6" w:rsidP="00D327B6"/>
    <w:p w14:paraId="398C257B" w14:textId="77777777" w:rsidR="00D327B6" w:rsidRPr="00D327B6" w:rsidRDefault="00D327B6" w:rsidP="00D327B6"/>
    <w:p w14:paraId="5D346815" w14:textId="77777777" w:rsidR="00D327B6" w:rsidRPr="00D327B6" w:rsidRDefault="00D327B6" w:rsidP="00D327B6"/>
    <w:p w14:paraId="469C396E" w14:textId="77777777" w:rsidR="00D327B6" w:rsidRPr="00D327B6" w:rsidRDefault="00D327B6" w:rsidP="00D327B6"/>
    <w:p w14:paraId="1CED0F1F" w14:textId="77777777" w:rsidR="00D327B6" w:rsidRPr="00D327B6" w:rsidRDefault="00D327B6" w:rsidP="00D327B6"/>
    <w:p w14:paraId="716044CF" w14:textId="77777777" w:rsidR="00D327B6" w:rsidRPr="00D327B6" w:rsidRDefault="00D327B6" w:rsidP="00D327B6"/>
    <w:p w14:paraId="538ACE38" w14:textId="77777777" w:rsidR="00D327B6" w:rsidRPr="00D327B6" w:rsidRDefault="00D327B6" w:rsidP="00D327B6"/>
    <w:p w14:paraId="5DEE76C9" w14:textId="77777777" w:rsidR="00D327B6" w:rsidRPr="00D327B6" w:rsidRDefault="00D327B6" w:rsidP="00D327B6"/>
    <w:p w14:paraId="56151EBE" w14:textId="573A797B" w:rsidR="00D327B6" w:rsidRDefault="00D327B6" w:rsidP="00D327B6"/>
    <w:p w14:paraId="7953484F" w14:textId="1542FC29" w:rsidR="00D327B6" w:rsidRDefault="00D327B6" w:rsidP="00D327B6"/>
    <w:p w14:paraId="45D06C03" w14:textId="33E88787" w:rsidR="00586932" w:rsidRDefault="00586932" w:rsidP="00D327B6"/>
    <w:p w14:paraId="7AA4068E" w14:textId="4C4C03F3" w:rsidR="00D327B6" w:rsidRDefault="00D327B6" w:rsidP="00D327B6"/>
    <w:p w14:paraId="1B40635C" w14:textId="4A0663A0" w:rsidR="0014076F" w:rsidRDefault="0014076F" w:rsidP="00D327B6"/>
    <w:p w14:paraId="7228BEBF" w14:textId="7300287F" w:rsidR="00D327B6" w:rsidRPr="00973C33" w:rsidRDefault="00973C33" w:rsidP="00973C33">
      <w:pPr>
        <w:rPr>
          <w:rFonts w:ascii="Arial" w:hAnsi="Arial" w:cs="Arial"/>
        </w:rPr>
      </w:pPr>
      <w:r>
        <w:rPr>
          <w:rFonts w:ascii="Arial" w:hAnsi="Arial" w:cs="Arial"/>
        </w:rPr>
        <w:t>2.2</w:t>
      </w:r>
      <w:r>
        <w:rPr>
          <w:rFonts w:ascii="Arial" w:hAnsi="Arial" w:cs="Arial"/>
        </w:rPr>
        <w:tab/>
      </w:r>
      <w:r w:rsidR="00067037" w:rsidRPr="00973C33">
        <w:rPr>
          <w:rFonts w:ascii="Arial" w:hAnsi="Arial" w:cs="Arial"/>
          <w:b/>
          <w:bCs/>
        </w:rPr>
        <w:t xml:space="preserve">De-delegated </w:t>
      </w:r>
      <w:r w:rsidR="00067037" w:rsidRPr="00AD0BDA">
        <w:rPr>
          <w:rFonts w:ascii="Arial" w:hAnsi="Arial" w:cs="Arial"/>
          <w:b/>
          <w:bCs/>
        </w:rPr>
        <w:t xml:space="preserve">budgets </w:t>
      </w:r>
      <w:r w:rsidR="00AD0BDA" w:rsidRPr="00AD0BDA">
        <w:rPr>
          <w:rFonts w:ascii="Arial" w:hAnsi="Arial" w:cs="Arial"/>
          <w:b/>
          <w:bCs/>
        </w:rPr>
        <w:t>2022-23</w:t>
      </w:r>
    </w:p>
    <w:p w14:paraId="2354327C" w14:textId="77777777" w:rsidR="00AD0BDA" w:rsidRDefault="00973C33" w:rsidP="00321A7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6445BBDD" w14:textId="26C2FE55" w:rsidR="00321A72" w:rsidRPr="00FD0579" w:rsidRDefault="00973C33" w:rsidP="00D27F35">
      <w:pPr>
        <w:pStyle w:val="Header"/>
        <w:tabs>
          <w:tab w:val="clear" w:pos="4153"/>
          <w:tab w:val="clear" w:pos="8306"/>
        </w:tabs>
        <w:ind w:left="720"/>
        <w:jc w:val="both"/>
        <w:rPr>
          <w:rFonts w:cs="Arial"/>
          <w:b/>
          <w:bCs/>
          <w:i/>
          <w:iCs/>
        </w:rPr>
      </w:pPr>
      <w:r w:rsidRPr="00973C33">
        <w:rPr>
          <w:rFonts w:cs="Arial"/>
        </w:rPr>
        <w:t>At the</w:t>
      </w:r>
      <w:r>
        <w:rPr>
          <w:rFonts w:cs="Arial"/>
        </w:rPr>
        <w:t xml:space="preserve"> last </w:t>
      </w:r>
      <w:r w:rsidR="00310565">
        <w:rPr>
          <w:rFonts w:cs="Arial"/>
        </w:rPr>
        <w:t xml:space="preserve">Schools’ Forum </w:t>
      </w:r>
      <w:r>
        <w:rPr>
          <w:rFonts w:cs="Arial"/>
        </w:rPr>
        <w:t>meeting</w:t>
      </w:r>
      <w:r w:rsidR="001368B7">
        <w:rPr>
          <w:rFonts w:cs="Arial"/>
        </w:rPr>
        <w:t xml:space="preserve">, </w:t>
      </w:r>
      <w:r w:rsidR="00310565">
        <w:rPr>
          <w:rFonts w:cs="Arial"/>
        </w:rPr>
        <w:t>members</w:t>
      </w:r>
      <w:r w:rsidR="001368B7">
        <w:rPr>
          <w:rFonts w:cs="Arial"/>
        </w:rPr>
        <w:t xml:space="preserve"> approved the de-</w:t>
      </w:r>
      <w:r w:rsidR="00CE73CA">
        <w:rPr>
          <w:rFonts w:cs="Arial"/>
        </w:rPr>
        <w:t>delegation</w:t>
      </w:r>
      <w:r w:rsidR="001368B7">
        <w:rPr>
          <w:rFonts w:cs="Arial"/>
        </w:rPr>
        <w:t xml:space="preserve"> of services</w:t>
      </w:r>
      <w:r w:rsidR="006F70DF">
        <w:rPr>
          <w:rFonts w:cs="Arial"/>
        </w:rPr>
        <w:t xml:space="preserve"> for schools </w:t>
      </w:r>
      <w:r w:rsidR="00310565">
        <w:rPr>
          <w:rFonts w:cs="Arial"/>
        </w:rPr>
        <w:t>as part of</w:t>
      </w:r>
      <w:r w:rsidR="006F70DF">
        <w:rPr>
          <w:rFonts w:cs="Arial"/>
        </w:rPr>
        <w:t xml:space="preserve"> budget setting </w:t>
      </w:r>
      <w:r w:rsidR="001947E9">
        <w:rPr>
          <w:rFonts w:cs="Arial"/>
        </w:rPr>
        <w:t>2022-23</w:t>
      </w:r>
      <w:r w:rsidR="00510EBD">
        <w:rPr>
          <w:rFonts w:cs="Arial"/>
        </w:rPr>
        <w:t xml:space="preserve"> </w:t>
      </w:r>
      <w:r w:rsidR="001B7400" w:rsidRPr="00D27F35">
        <w:rPr>
          <w:i/>
          <w:iCs/>
          <w:sz w:val="20"/>
        </w:rPr>
        <w:t xml:space="preserve">(decision (e) school forum minutes </w:t>
      </w:r>
      <w:r w:rsidR="00D27F35" w:rsidRPr="00D27F35">
        <w:rPr>
          <w:i/>
          <w:iCs/>
          <w:sz w:val="20"/>
        </w:rPr>
        <w:t>13</w:t>
      </w:r>
      <w:r w:rsidR="00D27F35" w:rsidRPr="00D27F35">
        <w:rPr>
          <w:i/>
          <w:iCs/>
          <w:sz w:val="20"/>
          <w:vertAlign w:val="superscript"/>
        </w:rPr>
        <w:t>th</w:t>
      </w:r>
      <w:r w:rsidR="00D27F35" w:rsidRPr="00D27F35">
        <w:rPr>
          <w:i/>
          <w:iCs/>
          <w:sz w:val="20"/>
        </w:rPr>
        <w:t xml:space="preserve"> January 2022, </w:t>
      </w:r>
      <w:r w:rsidR="001B7400" w:rsidRPr="00D27F35">
        <w:rPr>
          <w:i/>
          <w:iCs/>
          <w:sz w:val="20"/>
        </w:rPr>
        <w:t>page 4)</w:t>
      </w:r>
      <w:r w:rsidR="00D27F35">
        <w:rPr>
          <w:i/>
          <w:iCs/>
          <w:sz w:val="20"/>
        </w:rPr>
        <w:t xml:space="preserve"> </w:t>
      </w:r>
      <w:r w:rsidR="006F70DF">
        <w:rPr>
          <w:rFonts w:cs="Arial"/>
        </w:rPr>
        <w:t>and to confirm the de-del</w:t>
      </w:r>
      <w:r w:rsidR="00510EBD">
        <w:rPr>
          <w:rFonts w:cs="Arial"/>
        </w:rPr>
        <w:t>e</w:t>
      </w:r>
      <w:r w:rsidR="006F70DF">
        <w:rPr>
          <w:rFonts w:cs="Arial"/>
        </w:rPr>
        <w:t>g</w:t>
      </w:r>
      <w:r w:rsidR="00510EBD">
        <w:rPr>
          <w:rFonts w:cs="Arial"/>
        </w:rPr>
        <w:t>a</w:t>
      </w:r>
      <w:r w:rsidR="006F70DF">
        <w:rPr>
          <w:rFonts w:cs="Arial"/>
        </w:rPr>
        <w:t xml:space="preserve">ted cost of </w:t>
      </w:r>
      <w:r w:rsidR="006F70DF" w:rsidRPr="001947E9">
        <w:rPr>
          <w:rFonts w:cs="Arial"/>
          <w:b/>
          <w:bCs/>
        </w:rPr>
        <w:t>Tree Maintenance</w:t>
      </w:r>
      <w:r w:rsidR="006F70DF">
        <w:rPr>
          <w:rFonts w:cs="Arial"/>
        </w:rPr>
        <w:t xml:space="preserve"> </w:t>
      </w:r>
      <w:r w:rsidR="00FF1B1C">
        <w:rPr>
          <w:rFonts w:cs="Arial"/>
        </w:rPr>
        <w:t xml:space="preserve">£65,000 </w:t>
      </w:r>
      <w:r w:rsidR="006F70DF">
        <w:rPr>
          <w:rFonts w:cs="Arial"/>
        </w:rPr>
        <w:t xml:space="preserve">to both primary and secondary sector </w:t>
      </w:r>
      <w:r w:rsidR="00A23D25">
        <w:rPr>
          <w:rFonts w:cs="Arial"/>
        </w:rPr>
        <w:t xml:space="preserve">based upon a per pupil cost of £3.40 </w:t>
      </w:r>
      <w:r w:rsidR="006F70DF">
        <w:rPr>
          <w:rFonts w:cs="Arial"/>
        </w:rPr>
        <w:t>as</w:t>
      </w:r>
      <w:r w:rsidR="00CC4477">
        <w:rPr>
          <w:rFonts w:cs="Arial"/>
        </w:rPr>
        <w:t xml:space="preserve"> table 3 below for transparency</w:t>
      </w:r>
      <w:r w:rsidR="00FF1B1C">
        <w:rPr>
          <w:rFonts w:cs="Arial"/>
        </w:rPr>
        <w:t xml:space="preserve"> reporting</w:t>
      </w:r>
      <w:r w:rsidR="00FD0579">
        <w:rPr>
          <w:rFonts w:cs="Arial"/>
        </w:rPr>
        <w:t xml:space="preserve"> </w:t>
      </w:r>
      <w:r w:rsidR="00FD0579" w:rsidRPr="00FD0579">
        <w:rPr>
          <w:rFonts w:cs="Arial"/>
          <w:i/>
          <w:iCs/>
        </w:rPr>
        <w:t xml:space="preserve">(highlighted </w:t>
      </w:r>
      <w:r w:rsidR="00970355" w:rsidRPr="00FD0579">
        <w:rPr>
          <w:rFonts w:cs="Arial"/>
          <w:i/>
          <w:iCs/>
        </w:rPr>
        <w:t>in yellow</w:t>
      </w:r>
      <w:r w:rsidR="00FD0579" w:rsidRPr="00FD0579">
        <w:rPr>
          <w:rFonts w:cs="Arial"/>
          <w:i/>
          <w:iCs/>
        </w:rPr>
        <w:t>)</w:t>
      </w:r>
      <w:r w:rsidR="00CC4477" w:rsidRPr="00FD0579">
        <w:rPr>
          <w:rFonts w:cs="Arial"/>
          <w:i/>
          <w:iCs/>
        </w:rPr>
        <w:t>:</w:t>
      </w:r>
    </w:p>
    <w:p w14:paraId="58D4FCDC" w14:textId="2F34A9CF" w:rsidR="00321A72" w:rsidRDefault="00321A72" w:rsidP="00321A72">
      <w:pPr>
        <w:rPr>
          <w:rFonts w:ascii="Arial" w:hAnsi="Arial" w:cs="Arial"/>
          <w:b/>
          <w:bCs/>
        </w:rPr>
      </w:pPr>
    </w:p>
    <w:p w14:paraId="12634371" w14:textId="5D6AA366" w:rsidR="00C272D2" w:rsidRPr="00C272D2" w:rsidRDefault="00C272D2" w:rsidP="00A6615D">
      <w:pPr>
        <w:ind w:left="720"/>
        <w:rPr>
          <w:rFonts w:ascii="Arial" w:hAnsi="Arial" w:cs="Arial"/>
        </w:rPr>
      </w:pPr>
      <w:r w:rsidRPr="00842977">
        <w:rPr>
          <w:rFonts w:ascii="Arial" w:hAnsi="Arial" w:cs="Arial"/>
          <w:b/>
          <w:bCs/>
          <w:i/>
          <w:iCs/>
        </w:rPr>
        <w:t>Appendix A</w:t>
      </w:r>
      <w:r w:rsidRPr="00C272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attached details the </w:t>
      </w:r>
      <w:r w:rsidR="00970355">
        <w:rPr>
          <w:rFonts w:ascii="Arial" w:hAnsi="Arial" w:cs="Arial"/>
        </w:rPr>
        <w:t>school-by-school</w:t>
      </w:r>
      <w:r w:rsidR="00A6615D">
        <w:rPr>
          <w:rFonts w:ascii="Arial" w:hAnsi="Arial" w:cs="Arial"/>
        </w:rPr>
        <w:t xml:space="preserve"> changes of this inclusion for school budgets </w:t>
      </w:r>
      <w:r w:rsidR="00894C95">
        <w:rPr>
          <w:rFonts w:ascii="Arial" w:hAnsi="Arial" w:cs="Arial"/>
        </w:rPr>
        <w:t xml:space="preserve">De-delegated </w:t>
      </w:r>
      <w:r w:rsidR="00A6615D">
        <w:rPr>
          <w:rFonts w:ascii="Arial" w:hAnsi="Arial" w:cs="Arial"/>
        </w:rPr>
        <w:t>2022-23</w:t>
      </w:r>
      <w:r w:rsidR="00C02F1E">
        <w:rPr>
          <w:rFonts w:ascii="Arial" w:hAnsi="Arial" w:cs="Arial"/>
        </w:rPr>
        <w:t>.</w:t>
      </w:r>
    </w:p>
    <w:p w14:paraId="0C3AEE78" w14:textId="6B3F978D" w:rsidR="00A7369F" w:rsidRDefault="00A24FAE" w:rsidP="00A7369F">
      <w:pPr>
        <w:pStyle w:val="Header"/>
        <w:tabs>
          <w:tab w:val="clear" w:pos="4153"/>
          <w:tab w:val="clear" w:pos="8306"/>
        </w:tabs>
        <w:ind w:left="720"/>
      </w:pPr>
      <w:r w:rsidRPr="00A24FAE">
        <w:rPr>
          <w:noProof/>
        </w:rPr>
        <w:lastRenderedPageBreak/>
        <w:drawing>
          <wp:anchor distT="0" distB="0" distL="114300" distR="114300" simplePos="0" relativeHeight="251666944" behindDoc="0" locked="0" layoutInCell="1" allowOverlap="1" wp14:anchorId="4E8A6431" wp14:editId="0A9082FF">
            <wp:simplePos x="0" y="0"/>
            <wp:positionH relativeFrom="margin">
              <wp:posOffset>-218489</wp:posOffset>
            </wp:positionH>
            <wp:positionV relativeFrom="paragraph">
              <wp:posOffset>0</wp:posOffset>
            </wp:positionV>
            <wp:extent cx="6836410" cy="38823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388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2679FA" w14:textId="57A074E1" w:rsidR="0013595A" w:rsidRPr="00A7369F" w:rsidRDefault="0013595A" w:rsidP="0048158E">
      <w:pPr>
        <w:pStyle w:val="Header"/>
        <w:tabs>
          <w:tab w:val="clear" w:pos="4153"/>
          <w:tab w:val="clear" w:pos="8306"/>
        </w:tabs>
      </w:pPr>
      <w:r>
        <w:t>(</w:t>
      </w:r>
      <w:r>
        <w:rPr>
          <w:sz w:val="16"/>
          <w:szCs w:val="16"/>
        </w:rPr>
        <w:t xml:space="preserve">NOR= Number on Roll;  </w:t>
      </w:r>
      <w:r w:rsidR="00FB4FD5">
        <w:rPr>
          <w:sz w:val="16"/>
          <w:szCs w:val="16"/>
        </w:rPr>
        <w:t xml:space="preserve">EAL= English additional language, </w:t>
      </w:r>
      <w:r>
        <w:rPr>
          <w:sz w:val="16"/>
          <w:szCs w:val="16"/>
        </w:rPr>
        <w:t>Low Att= Lower Attainment factor for low cost, high incidence SEN)</w:t>
      </w:r>
    </w:p>
    <w:p w14:paraId="14F95D7F" w14:textId="77777777" w:rsidR="008C515C" w:rsidRPr="00C4634B" w:rsidRDefault="008C515C" w:rsidP="0013595A">
      <w:pPr>
        <w:pStyle w:val="Header"/>
        <w:tabs>
          <w:tab w:val="clear" w:pos="4153"/>
          <w:tab w:val="clear" w:pos="8306"/>
        </w:tabs>
        <w:ind w:left="720"/>
        <w:rPr>
          <w:sz w:val="16"/>
          <w:szCs w:val="16"/>
        </w:rPr>
      </w:pPr>
    </w:p>
    <w:p w14:paraId="151B05D9" w14:textId="77777777" w:rsidR="00920C5F" w:rsidRDefault="00920C5F" w:rsidP="00920C5F">
      <w:pPr>
        <w:pStyle w:val="Header"/>
        <w:tabs>
          <w:tab w:val="clear" w:pos="4153"/>
          <w:tab w:val="clear" w:pos="8306"/>
        </w:tabs>
        <w:ind w:left="720"/>
        <w:jc w:val="both"/>
      </w:pPr>
    </w:p>
    <w:p w14:paraId="14E1285C" w14:textId="0C1B981A" w:rsidR="00A7369F" w:rsidRDefault="00A7369F" w:rsidP="00A7369F">
      <w:pPr>
        <w:pStyle w:val="Header"/>
        <w:tabs>
          <w:tab w:val="clear" w:pos="4153"/>
          <w:tab w:val="clear" w:pos="8306"/>
        </w:tabs>
        <w:jc w:val="both"/>
      </w:pPr>
    </w:p>
    <w:tbl>
      <w:tblPr>
        <w:tblStyle w:val="TableGrid"/>
        <w:tblW w:w="0" w:type="auto"/>
        <w:tblInd w:w="720" w:type="dxa"/>
        <w:shd w:val="pct10" w:color="auto" w:fill="auto"/>
        <w:tblLook w:val="04A0" w:firstRow="1" w:lastRow="0" w:firstColumn="1" w:lastColumn="0" w:noHBand="0" w:noVBand="1"/>
      </w:tblPr>
      <w:tblGrid>
        <w:gridCol w:w="8340"/>
      </w:tblGrid>
      <w:tr w:rsidR="007004BC" w14:paraId="0B0236B0" w14:textId="77777777" w:rsidTr="00EF6237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7A53C66" w14:textId="3F914818" w:rsidR="00A7369F" w:rsidRPr="00A7369F" w:rsidRDefault="0048158E" w:rsidP="0058693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</w:rPr>
            </w:pPr>
            <w:bookmarkStart w:id="0" w:name="_Hlk98156267"/>
            <w:r>
              <w:rPr>
                <w:b/>
              </w:rPr>
              <w:t>Recommendation</w:t>
            </w:r>
            <w:r w:rsidR="00F52B61">
              <w:rPr>
                <w:b/>
              </w:rPr>
              <w:t xml:space="preserve"> (</w:t>
            </w:r>
            <w:r>
              <w:rPr>
                <w:b/>
              </w:rPr>
              <w:t>b)</w:t>
            </w:r>
          </w:p>
          <w:p w14:paraId="7EF69FFF" w14:textId="2FD7E951" w:rsidR="008877A5" w:rsidRPr="008877A5" w:rsidRDefault="007004BC" w:rsidP="008877A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Cs/>
              </w:rPr>
            </w:pPr>
            <w:r w:rsidRPr="00237FF3">
              <w:t xml:space="preserve">Schools Forum </w:t>
            </w:r>
            <w:r w:rsidR="00782F1D">
              <w:t>n</w:t>
            </w:r>
            <w:r w:rsidR="008877A5" w:rsidRPr="008877A5">
              <w:rPr>
                <w:bCs/>
              </w:rPr>
              <w:t>otes the confirmed de-delegation of budgets for 2022/23 with regards to Tree Maintenance</w:t>
            </w:r>
            <w:r w:rsidR="00782F1D">
              <w:rPr>
                <w:bCs/>
              </w:rPr>
              <w:t xml:space="preserve"> costs</w:t>
            </w:r>
            <w:r w:rsidR="0063722E">
              <w:rPr>
                <w:bCs/>
              </w:rPr>
              <w:t xml:space="preserve"> and £3.40 per pupil for both primary and secondary sector.</w:t>
            </w:r>
          </w:p>
          <w:p w14:paraId="7C5604C7" w14:textId="34E05307" w:rsidR="00FB4FD5" w:rsidRDefault="00FB4FD5" w:rsidP="00782F1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bookmarkEnd w:id="0"/>
    </w:tbl>
    <w:p w14:paraId="6EF8C318" w14:textId="27253859" w:rsidR="005F7B33" w:rsidRDefault="005F7B33" w:rsidP="00586932">
      <w:pPr>
        <w:pStyle w:val="Header"/>
        <w:tabs>
          <w:tab w:val="clear" w:pos="4153"/>
          <w:tab w:val="clear" w:pos="8306"/>
        </w:tabs>
        <w:ind w:left="720"/>
        <w:jc w:val="both"/>
      </w:pPr>
    </w:p>
    <w:p w14:paraId="59EF6A59" w14:textId="77777777" w:rsidR="00F0373F" w:rsidRDefault="00F0373F" w:rsidP="00586932">
      <w:pPr>
        <w:pStyle w:val="Header"/>
        <w:tabs>
          <w:tab w:val="clear" w:pos="4153"/>
          <w:tab w:val="clear" w:pos="8306"/>
        </w:tabs>
        <w:ind w:left="720"/>
        <w:jc w:val="both"/>
      </w:pPr>
    </w:p>
    <w:p w14:paraId="7F38F33B" w14:textId="20D1AEA2" w:rsidR="00E340D2" w:rsidRDefault="00945749" w:rsidP="00945749">
      <w:pPr>
        <w:pStyle w:val="Header"/>
        <w:tabs>
          <w:tab w:val="clear" w:pos="4153"/>
          <w:tab w:val="clear" w:pos="8306"/>
        </w:tabs>
        <w:jc w:val="both"/>
      </w:pPr>
      <w:r>
        <w:t>2</w:t>
      </w:r>
      <w:r w:rsidR="00E340D2">
        <w:t>.</w:t>
      </w:r>
      <w:r w:rsidR="00F0373F">
        <w:t>4</w:t>
      </w:r>
      <w:r>
        <w:tab/>
      </w:r>
      <w:r w:rsidRPr="00945749">
        <w:rPr>
          <w:b/>
          <w:bCs/>
        </w:rPr>
        <w:t>Authority Proforma Tool (APT)</w:t>
      </w:r>
    </w:p>
    <w:p w14:paraId="2B12B973" w14:textId="5146EBC9" w:rsidR="0013595A" w:rsidRDefault="00A44B0A" w:rsidP="00586932">
      <w:pPr>
        <w:pStyle w:val="Header"/>
        <w:tabs>
          <w:tab w:val="clear" w:pos="4153"/>
          <w:tab w:val="clear" w:pos="8306"/>
        </w:tabs>
        <w:ind w:left="720"/>
        <w:jc w:val="both"/>
      </w:pPr>
      <w:r>
        <w:t>The Education and Skills Funding Agency (ESFA) confirmed the 1</w:t>
      </w:r>
      <w:r w:rsidR="00F81818">
        <w:t xml:space="preserve">09 data and NFF </w:t>
      </w:r>
      <w:r w:rsidR="00DD3F5D">
        <w:t>compliance</w:t>
      </w:r>
      <w:r w:rsidR="00F81818">
        <w:t xml:space="preserve"> checks were approved on </w:t>
      </w:r>
      <w:r w:rsidR="006A6ECC">
        <w:t>21st</w:t>
      </w:r>
      <w:r w:rsidR="00F81818">
        <w:t xml:space="preserve"> February 2022 that includes the revised De-del</w:t>
      </w:r>
      <w:r w:rsidR="0061728F">
        <w:t>eg</w:t>
      </w:r>
      <w:r w:rsidR="00F81818">
        <w:t>ated costs to schools.</w:t>
      </w:r>
    </w:p>
    <w:p w14:paraId="28D06127" w14:textId="77777777" w:rsidR="000D02E3" w:rsidRDefault="000D02E3" w:rsidP="00586932">
      <w:pPr>
        <w:pStyle w:val="Header"/>
        <w:tabs>
          <w:tab w:val="clear" w:pos="4153"/>
          <w:tab w:val="clear" w:pos="8306"/>
        </w:tabs>
        <w:ind w:left="720"/>
        <w:jc w:val="both"/>
      </w:pPr>
    </w:p>
    <w:p w14:paraId="2F0A3DE2" w14:textId="77777777" w:rsidR="00AE2ADE" w:rsidRDefault="00F81818" w:rsidP="00586932">
      <w:pPr>
        <w:pStyle w:val="Header"/>
        <w:tabs>
          <w:tab w:val="clear" w:pos="4153"/>
          <w:tab w:val="clear" w:pos="8306"/>
        </w:tabs>
        <w:ind w:left="720"/>
        <w:jc w:val="both"/>
      </w:pPr>
      <w:r w:rsidRPr="00A24B40">
        <w:rPr>
          <w:b/>
          <w:bCs/>
          <w:i/>
          <w:iCs/>
        </w:rPr>
        <w:t>Appendix B</w:t>
      </w:r>
      <w:r>
        <w:t xml:space="preserve"> reports the final school by school allocation</w:t>
      </w:r>
      <w:r w:rsidR="0061728F">
        <w:t xml:space="preserve"> and </w:t>
      </w:r>
    </w:p>
    <w:p w14:paraId="66839D9B" w14:textId="519DD53C" w:rsidR="00F81818" w:rsidRDefault="0061728F" w:rsidP="00586932">
      <w:pPr>
        <w:pStyle w:val="Header"/>
        <w:tabs>
          <w:tab w:val="clear" w:pos="4153"/>
          <w:tab w:val="clear" w:pos="8306"/>
        </w:tabs>
        <w:ind w:left="720"/>
        <w:jc w:val="both"/>
      </w:pPr>
      <w:r w:rsidRPr="00A24B40">
        <w:rPr>
          <w:b/>
          <w:bCs/>
          <w:i/>
          <w:iCs/>
        </w:rPr>
        <w:t>Appendix C</w:t>
      </w:r>
      <w:r>
        <w:t xml:space="preserve"> reports the local authority </w:t>
      </w:r>
      <w:r w:rsidR="00F40BD4">
        <w:t xml:space="preserve">approved </w:t>
      </w:r>
      <w:r>
        <w:t>APT 2022-23.</w:t>
      </w:r>
    </w:p>
    <w:p w14:paraId="35831392" w14:textId="00928A5B" w:rsidR="00DB03E8" w:rsidRDefault="00DB03E8" w:rsidP="00586932">
      <w:pPr>
        <w:pStyle w:val="Header"/>
        <w:tabs>
          <w:tab w:val="clear" w:pos="4153"/>
          <w:tab w:val="clear" w:pos="8306"/>
        </w:tabs>
        <w:ind w:left="720"/>
        <w:jc w:val="both"/>
      </w:pPr>
    </w:p>
    <w:p w14:paraId="1B272B26" w14:textId="289615F2" w:rsidR="00DB03E8" w:rsidRPr="00237FF3" w:rsidRDefault="00DB03E8" w:rsidP="00DB03E8">
      <w:pPr>
        <w:pStyle w:val="Header"/>
        <w:tabs>
          <w:tab w:val="clear" w:pos="4153"/>
          <w:tab w:val="clear" w:pos="8306"/>
        </w:tabs>
        <w:jc w:val="both"/>
      </w:pPr>
    </w:p>
    <w:tbl>
      <w:tblPr>
        <w:tblStyle w:val="TableGrid"/>
        <w:tblW w:w="0" w:type="auto"/>
        <w:tblInd w:w="720" w:type="dxa"/>
        <w:shd w:val="pct10" w:color="auto" w:fill="auto"/>
        <w:tblLook w:val="04A0" w:firstRow="1" w:lastRow="0" w:firstColumn="1" w:lastColumn="0" w:noHBand="0" w:noVBand="1"/>
      </w:tblPr>
      <w:tblGrid>
        <w:gridCol w:w="8340"/>
      </w:tblGrid>
      <w:tr w:rsidR="00DB03E8" w14:paraId="45A315F3" w14:textId="77777777" w:rsidTr="00DE207B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8AF1DC1" w14:textId="06205A98" w:rsidR="00DB03E8" w:rsidRPr="00A7369F" w:rsidRDefault="00DB03E8" w:rsidP="00DE207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</w:rPr>
            </w:pPr>
            <w:r>
              <w:rPr>
                <w:b/>
              </w:rPr>
              <w:t>Recommendation (</w:t>
            </w:r>
            <w:r w:rsidR="000862C6">
              <w:rPr>
                <w:b/>
              </w:rPr>
              <w:t>c</w:t>
            </w:r>
            <w:r>
              <w:rPr>
                <w:b/>
              </w:rPr>
              <w:t>)</w:t>
            </w:r>
          </w:p>
          <w:p w14:paraId="4BD4867A" w14:textId="77777777" w:rsidR="00DB03E8" w:rsidRDefault="00DB03E8" w:rsidP="000862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Cs/>
              </w:rPr>
            </w:pPr>
            <w:r w:rsidRPr="00237FF3">
              <w:t xml:space="preserve">Schools Forum </w:t>
            </w:r>
            <w:r>
              <w:t>n</w:t>
            </w:r>
            <w:r w:rsidRPr="008877A5">
              <w:rPr>
                <w:bCs/>
              </w:rPr>
              <w:t xml:space="preserve">otes the </w:t>
            </w:r>
            <w:r w:rsidR="000862C6" w:rsidRPr="000862C6">
              <w:rPr>
                <w:bCs/>
              </w:rPr>
              <w:t>Authority Proforma Tool (APT) approval by the Education Skills and Funding Agency (ESFA).</w:t>
            </w:r>
          </w:p>
          <w:p w14:paraId="2CA4B43B" w14:textId="363C8C06" w:rsidR="000862C6" w:rsidRDefault="000862C6" w:rsidP="000862C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</w:tbl>
    <w:p w14:paraId="545AD8D4" w14:textId="77777777" w:rsidR="00DB03E8" w:rsidRDefault="00DB03E8" w:rsidP="00586932">
      <w:pPr>
        <w:pStyle w:val="Header"/>
        <w:tabs>
          <w:tab w:val="clear" w:pos="4153"/>
          <w:tab w:val="clear" w:pos="8306"/>
        </w:tabs>
        <w:ind w:left="720"/>
        <w:jc w:val="both"/>
      </w:pPr>
    </w:p>
    <w:p w14:paraId="700CDA38" w14:textId="381C9772" w:rsidR="0061728F" w:rsidRDefault="0061728F" w:rsidP="00586932">
      <w:pPr>
        <w:pStyle w:val="Header"/>
        <w:tabs>
          <w:tab w:val="clear" w:pos="4153"/>
          <w:tab w:val="clear" w:pos="8306"/>
        </w:tabs>
        <w:ind w:left="720"/>
        <w:jc w:val="both"/>
      </w:pPr>
    </w:p>
    <w:p w14:paraId="12EE19A8" w14:textId="69040EF5" w:rsidR="00735A84" w:rsidRDefault="0014263D" w:rsidP="004268C9">
      <w:pPr>
        <w:pStyle w:val="Header"/>
        <w:tabs>
          <w:tab w:val="clear" w:pos="4153"/>
          <w:tab w:val="clear" w:pos="8306"/>
        </w:tabs>
        <w:ind w:left="720" w:hanging="720"/>
        <w:jc w:val="both"/>
      </w:pPr>
      <w:r>
        <w:t>2.5</w:t>
      </w:r>
      <w:r>
        <w:tab/>
      </w:r>
      <w:r w:rsidR="00DA1E85" w:rsidRPr="00735A84">
        <w:rPr>
          <w:b/>
          <w:bCs/>
        </w:rPr>
        <w:t>Cabinet Ratification</w:t>
      </w:r>
      <w:r w:rsidR="00735A84" w:rsidRPr="00735A84">
        <w:rPr>
          <w:b/>
          <w:bCs/>
        </w:rPr>
        <w:t xml:space="preserve"> </w:t>
      </w:r>
      <w:r w:rsidR="00735A84">
        <w:rPr>
          <w:b/>
          <w:bCs/>
        </w:rPr>
        <w:t xml:space="preserve">of </w:t>
      </w:r>
      <w:r w:rsidR="00735A84" w:rsidRPr="00735A84">
        <w:rPr>
          <w:b/>
          <w:bCs/>
        </w:rPr>
        <w:t>School Budgets</w:t>
      </w:r>
      <w:r w:rsidR="00735A84">
        <w:rPr>
          <w:b/>
          <w:bCs/>
        </w:rPr>
        <w:t xml:space="preserve"> 2022-23</w:t>
      </w:r>
    </w:p>
    <w:p w14:paraId="3BEAC90E" w14:textId="023EE23D" w:rsidR="0061728F" w:rsidRDefault="0014263D" w:rsidP="00735A84">
      <w:pPr>
        <w:pStyle w:val="Header"/>
        <w:tabs>
          <w:tab w:val="clear" w:pos="4153"/>
          <w:tab w:val="clear" w:pos="8306"/>
        </w:tabs>
        <w:ind w:left="720"/>
        <w:jc w:val="both"/>
      </w:pPr>
      <w:r>
        <w:t xml:space="preserve">The School Budgets 2022-23 </w:t>
      </w:r>
      <w:r w:rsidR="004268C9">
        <w:t xml:space="preserve">including APT </w:t>
      </w:r>
      <w:r>
        <w:t>was ratified at Cabinet on 2</w:t>
      </w:r>
      <w:r w:rsidRPr="0014263D">
        <w:rPr>
          <w:vertAlign w:val="superscript"/>
        </w:rPr>
        <w:t>nd</w:t>
      </w:r>
      <w:r>
        <w:t xml:space="preserve"> March 2022</w:t>
      </w:r>
      <w:r w:rsidR="007C09A3">
        <w:t xml:space="preserve"> and due to the </w:t>
      </w:r>
      <w:r w:rsidR="004268C9">
        <w:t>ratification being after the local authority statutory deadline of issu</w:t>
      </w:r>
      <w:r w:rsidR="00307F66">
        <w:t>ing</w:t>
      </w:r>
      <w:r w:rsidR="004268C9">
        <w:t xml:space="preserve"> school budgets 2022/23</w:t>
      </w:r>
      <w:r w:rsidR="00446806">
        <w:t xml:space="preserve"> by 28</w:t>
      </w:r>
      <w:r w:rsidR="00446806" w:rsidRPr="00446806">
        <w:rPr>
          <w:vertAlign w:val="superscript"/>
        </w:rPr>
        <w:t>th</w:t>
      </w:r>
      <w:r w:rsidR="00446806">
        <w:t xml:space="preserve"> February 2022, </w:t>
      </w:r>
      <w:r w:rsidR="00446806" w:rsidRPr="006A59B2">
        <w:rPr>
          <w:b/>
          <w:bCs/>
        </w:rPr>
        <w:t xml:space="preserve">draft </w:t>
      </w:r>
      <w:r w:rsidR="00446806">
        <w:t>budgets were emailed to schools with indicative estimates</w:t>
      </w:r>
      <w:r w:rsidR="00376D31">
        <w:t>.  Final ratified school budget</w:t>
      </w:r>
      <w:r w:rsidR="00307F66">
        <w:t>s</w:t>
      </w:r>
      <w:r w:rsidR="00376D31">
        <w:t xml:space="preserve"> for </w:t>
      </w:r>
      <w:r w:rsidR="00376D31">
        <w:lastRenderedPageBreak/>
        <w:t xml:space="preserve">2022-23 will be </w:t>
      </w:r>
      <w:r w:rsidR="00697880">
        <w:t>re-</w:t>
      </w:r>
      <w:r w:rsidR="00376D31">
        <w:t>distributed with updated</w:t>
      </w:r>
      <w:r w:rsidR="003E4823">
        <w:t xml:space="preserve"> element</w:t>
      </w:r>
      <w:r w:rsidR="00307F66">
        <w:t>s</w:t>
      </w:r>
      <w:r w:rsidR="003E4823">
        <w:t xml:space="preserve"> that have caused some schools problems with setting a balanced 2022-23 revenue budget.</w:t>
      </w:r>
      <w:r w:rsidR="005C1D66">
        <w:t xml:space="preserve"> To confirm:</w:t>
      </w:r>
    </w:p>
    <w:p w14:paraId="1532BA49" w14:textId="6565ABEA" w:rsidR="005C1D66" w:rsidRDefault="005C1D66" w:rsidP="005C1D66">
      <w:pPr>
        <w:pStyle w:val="Header"/>
        <w:tabs>
          <w:tab w:val="clear" w:pos="4153"/>
          <w:tab w:val="clear" w:pos="8306"/>
        </w:tabs>
        <w:jc w:val="both"/>
      </w:pPr>
    </w:p>
    <w:p w14:paraId="08811670" w14:textId="3AC05193" w:rsidR="005C1D66" w:rsidRDefault="005C1D66" w:rsidP="005C1D66">
      <w:pPr>
        <w:pStyle w:val="Header"/>
        <w:numPr>
          <w:ilvl w:val="0"/>
          <w:numId w:val="36"/>
        </w:numPr>
        <w:tabs>
          <w:tab w:val="clear" w:pos="4153"/>
          <w:tab w:val="clear" w:pos="8306"/>
        </w:tabs>
        <w:jc w:val="both"/>
      </w:pPr>
      <w:r>
        <w:t>Final approved school budgets 2022-23 will be distributed</w:t>
      </w:r>
    </w:p>
    <w:p w14:paraId="7F063F67" w14:textId="73B5B605" w:rsidR="005C1D66" w:rsidRDefault="002C5FF1" w:rsidP="005C1D66">
      <w:pPr>
        <w:pStyle w:val="Header"/>
        <w:numPr>
          <w:ilvl w:val="0"/>
          <w:numId w:val="36"/>
        </w:numPr>
        <w:tabs>
          <w:tab w:val="clear" w:pos="4153"/>
          <w:tab w:val="clear" w:pos="8306"/>
        </w:tabs>
        <w:jc w:val="both"/>
      </w:pPr>
      <w:r>
        <w:t>Final de</w:t>
      </w:r>
      <w:r w:rsidR="00B92E48">
        <w:t>-</w:t>
      </w:r>
      <w:r>
        <w:t xml:space="preserve">delegated allocations </w:t>
      </w:r>
      <w:r w:rsidR="00500611">
        <w:t xml:space="preserve">included for </w:t>
      </w:r>
      <w:r>
        <w:t>2022-23</w:t>
      </w:r>
      <w:r w:rsidR="00AC6DE7">
        <w:t xml:space="preserve"> (Tree maintenance)</w:t>
      </w:r>
    </w:p>
    <w:p w14:paraId="65B58AA3" w14:textId="220D5CCC" w:rsidR="002C5FF1" w:rsidRDefault="002C5FF1" w:rsidP="005C1D66">
      <w:pPr>
        <w:pStyle w:val="Header"/>
        <w:numPr>
          <w:ilvl w:val="0"/>
          <w:numId w:val="36"/>
        </w:numPr>
        <w:tabs>
          <w:tab w:val="clear" w:pos="4153"/>
          <w:tab w:val="clear" w:pos="8306"/>
        </w:tabs>
        <w:jc w:val="both"/>
      </w:pPr>
      <w:r>
        <w:t xml:space="preserve">Final </w:t>
      </w:r>
      <w:r w:rsidR="00827376">
        <w:t xml:space="preserve">approved </w:t>
      </w:r>
      <w:r>
        <w:t>SEN 2.5%</w:t>
      </w:r>
      <w:r w:rsidR="00827376">
        <w:t xml:space="preserve"> allocations to those schools with more than 2.5% EHCPs recorded on autumn 21 census</w:t>
      </w:r>
    </w:p>
    <w:p w14:paraId="75ADC8E3" w14:textId="6FDB0CCC" w:rsidR="00827376" w:rsidRDefault="00827376" w:rsidP="005C1D66">
      <w:pPr>
        <w:pStyle w:val="Header"/>
        <w:numPr>
          <w:ilvl w:val="0"/>
          <w:numId w:val="36"/>
        </w:numPr>
        <w:tabs>
          <w:tab w:val="clear" w:pos="4153"/>
          <w:tab w:val="clear" w:pos="8306"/>
        </w:tabs>
        <w:jc w:val="both"/>
      </w:pPr>
      <w:r>
        <w:t xml:space="preserve">Final </w:t>
      </w:r>
      <w:r w:rsidR="00843AC5">
        <w:t>ARP commissioned places and therapy recharges for 2022-23</w:t>
      </w:r>
    </w:p>
    <w:p w14:paraId="4186EDDD" w14:textId="3428A0EB" w:rsidR="00843AC5" w:rsidRDefault="00843AC5" w:rsidP="005C1D66">
      <w:pPr>
        <w:pStyle w:val="Header"/>
        <w:numPr>
          <w:ilvl w:val="0"/>
          <w:numId w:val="36"/>
        </w:numPr>
        <w:tabs>
          <w:tab w:val="clear" w:pos="4153"/>
          <w:tab w:val="clear" w:pos="8306"/>
        </w:tabs>
        <w:jc w:val="both"/>
      </w:pPr>
      <w:r>
        <w:t>Final Special school budget allocations including therapy recharges for 2022-23</w:t>
      </w:r>
    </w:p>
    <w:p w14:paraId="43E7AACC" w14:textId="10765FF6" w:rsidR="00843AC5" w:rsidRDefault="00E044BA" w:rsidP="005C1D66">
      <w:pPr>
        <w:pStyle w:val="Header"/>
        <w:numPr>
          <w:ilvl w:val="0"/>
          <w:numId w:val="36"/>
        </w:numPr>
        <w:tabs>
          <w:tab w:val="clear" w:pos="4153"/>
          <w:tab w:val="clear" w:pos="8306"/>
        </w:tabs>
        <w:jc w:val="both"/>
      </w:pPr>
      <w:r>
        <w:t xml:space="preserve">Final Pupil Premium Grant (PPG) allocations based upon </w:t>
      </w:r>
      <w:r w:rsidR="00F512AC">
        <w:t>census from autumn 21</w:t>
      </w:r>
      <w:r w:rsidR="00D37EDB">
        <w:t xml:space="preserve">, </w:t>
      </w:r>
      <w:r w:rsidR="00D37EDB" w:rsidRPr="006C5BA0">
        <w:rPr>
          <w:i/>
          <w:iCs/>
          <w:sz w:val="22"/>
          <w:szCs w:val="22"/>
        </w:rPr>
        <w:t>nb first payment to schools’ and confirmed numbers from the DfE will be</w:t>
      </w:r>
      <w:r w:rsidR="006C5BA0">
        <w:rPr>
          <w:i/>
          <w:iCs/>
          <w:sz w:val="22"/>
          <w:szCs w:val="22"/>
        </w:rPr>
        <w:t xml:space="preserve"> </w:t>
      </w:r>
      <w:r w:rsidR="00970355">
        <w:rPr>
          <w:i/>
          <w:iCs/>
          <w:sz w:val="22"/>
          <w:szCs w:val="22"/>
        </w:rPr>
        <w:t>published</w:t>
      </w:r>
      <w:r w:rsidR="00970355" w:rsidRPr="006C5BA0">
        <w:rPr>
          <w:i/>
          <w:iCs/>
          <w:sz w:val="22"/>
          <w:szCs w:val="22"/>
        </w:rPr>
        <w:t xml:space="preserve"> June</w:t>
      </w:r>
      <w:r w:rsidR="00D37EDB" w:rsidRPr="006C5BA0">
        <w:rPr>
          <w:i/>
          <w:iCs/>
          <w:sz w:val="22"/>
          <w:szCs w:val="22"/>
        </w:rPr>
        <w:t xml:space="preserve"> 22</w:t>
      </w:r>
    </w:p>
    <w:p w14:paraId="2F01BC51" w14:textId="0CC9B0BD" w:rsidR="00F512AC" w:rsidRDefault="00F512AC" w:rsidP="005C1D66">
      <w:pPr>
        <w:pStyle w:val="Header"/>
        <w:numPr>
          <w:ilvl w:val="0"/>
          <w:numId w:val="36"/>
        </w:numPr>
        <w:tabs>
          <w:tab w:val="clear" w:pos="4153"/>
          <w:tab w:val="clear" w:pos="8306"/>
        </w:tabs>
        <w:jc w:val="both"/>
      </w:pPr>
      <w:r>
        <w:t xml:space="preserve">Supplementary Grant </w:t>
      </w:r>
      <w:r w:rsidR="00790D7F">
        <w:t>allocations calculated as per published tool (issued after 28</w:t>
      </w:r>
      <w:r w:rsidR="00790D7F" w:rsidRPr="00790D7F">
        <w:rPr>
          <w:vertAlign w:val="superscript"/>
        </w:rPr>
        <w:t>th</w:t>
      </w:r>
      <w:r w:rsidR="00790D7F">
        <w:t xml:space="preserve"> February 2022</w:t>
      </w:r>
      <w:r w:rsidR="001561B2">
        <w:t xml:space="preserve"> to local authorities</w:t>
      </w:r>
      <w:r w:rsidR="00790D7F">
        <w:t>)</w:t>
      </w:r>
      <w:r w:rsidR="00D37EDB">
        <w:t xml:space="preserve"> and fin</w:t>
      </w:r>
      <w:r w:rsidR="001561B2">
        <w:t>a</w:t>
      </w:r>
      <w:r w:rsidR="00D37EDB">
        <w:t>l published allocations by the DfE will be spring 22.</w:t>
      </w:r>
    </w:p>
    <w:p w14:paraId="308E0C2B" w14:textId="07DBEB94" w:rsidR="00CE5887" w:rsidRDefault="00970355" w:rsidP="005C1D66">
      <w:pPr>
        <w:pStyle w:val="Header"/>
        <w:numPr>
          <w:ilvl w:val="0"/>
          <w:numId w:val="36"/>
        </w:numPr>
        <w:tabs>
          <w:tab w:val="clear" w:pos="4153"/>
          <w:tab w:val="clear" w:pos="8306"/>
        </w:tabs>
        <w:jc w:val="both"/>
      </w:pPr>
      <w:r>
        <w:t>Three-year</w:t>
      </w:r>
      <w:r w:rsidR="00CE5887">
        <w:t xml:space="preserve"> budgets will be issued to those schools </w:t>
      </w:r>
      <w:r w:rsidR="00EB5EEB">
        <w:t xml:space="preserve">currently </w:t>
      </w:r>
      <w:r w:rsidR="00CE5887">
        <w:t>facing financial difficulties</w:t>
      </w:r>
      <w:r w:rsidR="00B06F5B">
        <w:t xml:space="preserve"> and </w:t>
      </w:r>
      <w:r w:rsidR="00EB5EEB">
        <w:t>in the process of a licenced deficit and t</w:t>
      </w:r>
      <w:r w:rsidR="00B06F5B">
        <w:t>o assist schools unable to set a balanced budget for 2022-23</w:t>
      </w:r>
      <w:r w:rsidR="00EB5EEB">
        <w:t>.</w:t>
      </w:r>
    </w:p>
    <w:p w14:paraId="7F97B8A8" w14:textId="15D6ADF5" w:rsidR="0061728F" w:rsidRDefault="0061728F" w:rsidP="00586932">
      <w:pPr>
        <w:pStyle w:val="Header"/>
        <w:tabs>
          <w:tab w:val="clear" w:pos="4153"/>
          <w:tab w:val="clear" w:pos="8306"/>
        </w:tabs>
        <w:ind w:left="720"/>
        <w:jc w:val="both"/>
      </w:pPr>
    </w:p>
    <w:tbl>
      <w:tblPr>
        <w:tblStyle w:val="TableGrid"/>
        <w:tblW w:w="0" w:type="auto"/>
        <w:tblInd w:w="720" w:type="dxa"/>
        <w:shd w:val="pct10" w:color="auto" w:fill="auto"/>
        <w:tblLook w:val="04A0" w:firstRow="1" w:lastRow="0" w:firstColumn="1" w:lastColumn="0" w:noHBand="0" w:noVBand="1"/>
      </w:tblPr>
      <w:tblGrid>
        <w:gridCol w:w="8340"/>
      </w:tblGrid>
      <w:tr w:rsidR="00721F07" w14:paraId="420307FB" w14:textId="77777777" w:rsidTr="00DE207B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EF2A690" w14:textId="628F893F" w:rsidR="00721F07" w:rsidRPr="00A7369F" w:rsidRDefault="00721F07" w:rsidP="00DE207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</w:rPr>
            </w:pPr>
            <w:r>
              <w:rPr>
                <w:b/>
              </w:rPr>
              <w:t>Recommendation (</w:t>
            </w:r>
            <w:r w:rsidR="003371B6">
              <w:rPr>
                <w:b/>
              </w:rPr>
              <w:t>d</w:t>
            </w:r>
            <w:r>
              <w:rPr>
                <w:b/>
              </w:rPr>
              <w:t>)</w:t>
            </w:r>
          </w:p>
          <w:p w14:paraId="6DECE031" w14:textId="2BBF6B21" w:rsidR="00721F07" w:rsidRDefault="00721F07" w:rsidP="00DE207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Cs/>
              </w:rPr>
            </w:pPr>
            <w:r w:rsidRPr="00237FF3">
              <w:t xml:space="preserve">Schools Forum </w:t>
            </w:r>
            <w:r>
              <w:t>n</w:t>
            </w:r>
            <w:r w:rsidRPr="008877A5">
              <w:rPr>
                <w:bCs/>
              </w:rPr>
              <w:t xml:space="preserve">otes the </w:t>
            </w:r>
            <w:r>
              <w:rPr>
                <w:bCs/>
              </w:rPr>
              <w:t xml:space="preserve">Cabinet Ratification </w:t>
            </w:r>
            <w:r w:rsidR="00EC0865">
              <w:rPr>
                <w:bCs/>
              </w:rPr>
              <w:t>2</w:t>
            </w:r>
            <w:r w:rsidR="00EC0865" w:rsidRPr="00EC0865">
              <w:rPr>
                <w:bCs/>
                <w:vertAlign w:val="superscript"/>
              </w:rPr>
              <w:t>nd</w:t>
            </w:r>
            <w:r w:rsidR="00EC0865">
              <w:rPr>
                <w:bCs/>
              </w:rPr>
              <w:t xml:space="preserve"> March 2022.</w:t>
            </w:r>
          </w:p>
          <w:p w14:paraId="336197A3" w14:textId="77777777" w:rsidR="00721F07" w:rsidRDefault="00721F07" w:rsidP="00DE207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</w:tbl>
    <w:p w14:paraId="67DC5A8E" w14:textId="0B8AEF87" w:rsidR="00666F5D" w:rsidRDefault="00666F5D" w:rsidP="00586932">
      <w:pPr>
        <w:pStyle w:val="Header"/>
        <w:tabs>
          <w:tab w:val="clear" w:pos="4153"/>
          <w:tab w:val="clear" w:pos="8306"/>
        </w:tabs>
        <w:ind w:left="720"/>
        <w:jc w:val="both"/>
      </w:pPr>
    </w:p>
    <w:p w14:paraId="6C13BDC5" w14:textId="77777777" w:rsidR="00666F5D" w:rsidRDefault="00666F5D" w:rsidP="00586932">
      <w:pPr>
        <w:pStyle w:val="Header"/>
        <w:tabs>
          <w:tab w:val="clear" w:pos="4153"/>
          <w:tab w:val="clear" w:pos="8306"/>
        </w:tabs>
        <w:ind w:left="720"/>
        <w:jc w:val="both"/>
      </w:pPr>
    </w:p>
    <w:p w14:paraId="18F61EDD" w14:textId="77777777" w:rsidR="0061728F" w:rsidRDefault="0061728F" w:rsidP="00586932">
      <w:pPr>
        <w:pStyle w:val="Header"/>
        <w:tabs>
          <w:tab w:val="clear" w:pos="4153"/>
          <w:tab w:val="clear" w:pos="8306"/>
        </w:tabs>
        <w:ind w:left="720"/>
        <w:jc w:val="both"/>
      </w:pPr>
    </w:p>
    <w:p w14:paraId="755E2771" w14:textId="2AE1B02E" w:rsidR="005F1A5A" w:rsidRPr="00E62227" w:rsidRDefault="00BF0F99" w:rsidP="00F74ED7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spacing w:after="160"/>
        <w:ind w:hanging="720"/>
        <w:rPr>
          <w:b/>
        </w:rPr>
      </w:pPr>
      <w:r>
        <w:rPr>
          <w:b/>
        </w:rPr>
        <w:t xml:space="preserve">DSG </w:t>
      </w:r>
      <w:r w:rsidR="003371B6">
        <w:rPr>
          <w:b/>
        </w:rPr>
        <w:t>forecast outturn</w:t>
      </w:r>
      <w:r w:rsidR="00530049">
        <w:rPr>
          <w:b/>
        </w:rPr>
        <w:t xml:space="preserve"> 2021-22</w:t>
      </w:r>
    </w:p>
    <w:p w14:paraId="429676D7" w14:textId="32277DBE" w:rsidR="00A06116" w:rsidRDefault="00320AA0" w:rsidP="008764F6">
      <w:pPr>
        <w:ind w:left="720" w:hanging="720"/>
        <w:jc w:val="both"/>
        <w:rPr>
          <w:rFonts w:ascii="Arial" w:hAnsi="Arial" w:cs="Arial"/>
          <w:snapToGrid w:val="0"/>
          <w:szCs w:val="20"/>
        </w:rPr>
      </w:pPr>
      <w:r>
        <w:rPr>
          <w:rFonts w:ascii="Arial" w:hAnsi="Arial" w:cs="Arial"/>
          <w:snapToGrid w:val="0"/>
          <w:szCs w:val="20"/>
        </w:rPr>
        <w:t>3.1</w:t>
      </w:r>
      <w:r w:rsidR="008764F6">
        <w:rPr>
          <w:rFonts w:ascii="Arial" w:hAnsi="Arial" w:cs="Arial"/>
          <w:snapToGrid w:val="0"/>
          <w:szCs w:val="20"/>
        </w:rPr>
        <w:tab/>
      </w:r>
      <w:r w:rsidR="00225DC1" w:rsidRPr="00320AA0">
        <w:rPr>
          <w:rFonts w:ascii="Arial" w:hAnsi="Arial" w:cs="Arial"/>
          <w:snapToGrid w:val="0"/>
          <w:szCs w:val="20"/>
        </w:rPr>
        <w:t xml:space="preserve">The </w:t>
      </w:r>
      <w:r w:rsidR="00890C42">
        <w:rPr>
          <w:rFonts w:ascii="Arial" w:hAnsi="Arial" w:cs="Arial"/>
          <w:snapToGrid w:val="0"/>
          <w:szCs w:val="20"/>
        </w:rPr>
        <w:t xml:space="preserve">latest DSG forecast for 2021-22 is a pressure of £12.6m </w:t>
      </w:r>
      <w:r w:rsidR="00BC72F1">
        <w:rPr>
          <w:rFonts w:ascii="Arial" w:hAnsi="Arial" w:cs="Arial"/>
          <w:snapToGrid w:val="0"/>
          <w:szCs w:val="20"/>
        </w:rPr>
        <w:t xml:space="preserve">in year </w:t>
      </w:r>
      <w:r w:rsidR="007657A7">
        <w:rPr>
          <w:rFonts w:ascii="Arial" w:hAnsi="Arial" w:cs="Arial"/>
          <w:snapToGrid w:val="0"/>
          <w:szCs w:val="20"/>
        </w:rPr>
        <w:t>as reported at period 10.</w:t>
      </w:r>
      <w:r w:rsidR="003714C2">
        <w:rPr>
          <w:rFonts w:ascii="Arial" w:hAnsi="Arial" w:cs="Arial"/>
          <w:snapToGrid w:val="0"/>
          <w:szCs w:val="20"/>
        </w:rPr>
        <w:t xml:space="preserve">  </w:t>
      </w:r>
      <w:r w:rsidR="00530049">
        <w:rPr>
          <w:rFonts w:ascii="Arial" w:hAnsi="Arial" w:cs="Arial"/>
          <w:snapToGrid w:val="0"/>
          <w:szCs w:val="20"/>
        </w:rPr>
        <w:t xml:space="preserve">This is </w:t>
      </w:r>
      <w:r w:rsidR="00970355">
        <w:rPr>
          <w:rFonts w:ascii="Arial" w:hAnsi="Arial" w:cs="Arial"/>
          <w:snapToGrid w:val="0"/>
          <w:szCs w:val="20"/>
        </w:rPr>
        <w:t>in line</w:t>
      </w:r>
      <w:r w:rsidR="00530049">
        <w:rPr>
          <w:rFonts w:ascii="Arial" w:hAnsi="Arial" w:cs="Arial"/>
          <w:snapToGrid w:val="0"/>
          <w:szCs w:val="20"/>
        </w:rPr>
        <w:t xml:space="preserve"> with the </w:t>
      </w:r>
      <w:r w:rsidR="00EB178D">
        <w:rPr>
          <w:rFonts w:ascii="Arial" w:hAnsi="Arial" w:cs="Arial"/>
          <w:snapToGrid w:val="0"/>
          <w:szCs w:val="20"/>
        </w:rPr>
        <w:t xml:space="preserve">Merton Safety Valve reporting to the DfE and part of the </w:t>
      </w:r>
      <w:r w:rsidR="00522A44">
        <w:rPr>
          <w:rFonts w:ascii="Arial" w:hAnsi="Arial" w:cs="Arial"/>
          <w:snapToGrid w:val="0"/>
          <w:szCs w:val="20"/>
        </w:rPr>
        <w:t>DSG Management Plan modelling.</w:t>
      </w:r>
      <w:r w:rsidR="00F24AE1">
        <w:rPr>
          <w:rFonts w:ascii="Arial" w:hAnsi="Arial" w:cs="Arial"/>
          <w:snapToGrid w:val="0"/>
          <w:szCs w:val="20"/>
        </w:rPr>
        <w:t xml:space="preserve">  The cumulative DSG deficit for 2020</w:t>
      </w:r>
      <w:r w:rsidR="009D17B5">
        <w:rPr>
          <w:rFonts w:ascii="Arial" w:hAnsi="Arial" w:cs="Arial"/>
          <w:snapToGrid w:val="0"/>
          <w:szCs w:val="20"/>
        </w:rPr>
        <w:t>-21 was £24.981m</w:t>
      </w:r>
      <w:r w:rsidR="0078660D">
        <w:rPr>
          <w:rFonts w:ascii="Arial" w:hAnsi="Arial" w:cs="Arial"/>
          <w:snapToGrid w:val="0"/>
          <w:szCs w:val="20"/>
        </w:rPr>
        <w:t>, therefore forecast deficit report</w:t>
      </w:r>
      <w:r w:rsidR="00A9413F">
        <w:rPr>
          <w:rFonts w:ascii="Arial" w:hAnsi="Arial" w:cs="Arial"/>
          <w:snapToGrid w:val="0"/>
          <w:szCs w:val="20"/>
        </w:rPr>
        <w:t>ing</w:t>
      </w:r>
      <w:r w:rsidR="0078660D">
        <w:rPr>
          <w:rFonts w:ascii="Arial" w:hAnsi="Arial" w:cs="Arial"/>
          <w:snapToGrid w:val="0"/>
          <w:szCs w:val="20"/>
        </w:rPr>
        <w:t xml:space="preserve"> </w:t>
      </w:r>
      <w:r w:rsidR="00DB3BFE">
        <w:rPr>
          <w:rFonts w:ascii="Arial" w:hAnsi="Arial" w:cs="Arial"/>
          <w:snapToGrid w:val="0"/>
          <w:szCs w:val="20"/>
        </w:rPr>
        <w:t>of</w:t>
      </w:r>
      <w:r w:rsidR="0078660D">
        <w:rPr>
          <w:rFonts w:ascii="Arial" w:hAnsi="Arial" w:cs="Arial"/>
          <w:snapToGrid w:val="0"/>
          <w:szCs w:val="20"/>
        </w:rPr>
        <w:t xml:space="preserve"> £37.</w:t>
      </w:r>
      <w:r w:rsidR="00A9413F">
        <w:rPr>
          <w:rFonts w:ascii="Arial" w:hAnsi="Arial" w:cs="Arial"/>
          <w:snapToGrid w:val="0"/>
          <w:szCs w:val="20"/>
        </w:rPr>
        <w:t>5m</w:t>
      </w:r>
      <w:r w:rsidR="00D3117B">
        <w:rPr>
          <w:rFonts w:ascii="Arial" w:hAnsi="Arial" w:cs="Arial"/>
          <w:snapToGrid w:val="0"/>
          <w:szCs w:val="20"/>
        </w:rPr>
        <w:t xml:space="preserve">.  This is within the High Needs block of the DSG and primarily due to children being placed at suitable provision </w:t>
      </w:r>
      <w:r w:rsidR="008249A4">
        <w:rPr>
          <w:rFonts w:ascii="Arial" w:hAnsi="Arial" w:cs="Arial"/>
          <w:snapToGrid w:val="0"/>
          <w:szCs w:val="20"/>
        </w:rPr>
        <w:t xml:space="preserve">and settings </w:t>
      </w:r>
      <w:r w:rsidR="005B6254">
        <w:rPr>
          <w:rFonts w:ascii="Arial" w:hAnsi="Arial" w:cs="Arial"/>
          <w:snapToGrid w:val="0"/>
          <w:szCs w:val="20"/>
        </w:rPr>
        <w:t xml:space="preserve">to meet their needs </w:t>
      </w:r>
      <w:r w:rsidR="00D3117B">
        <w:rPr>
          <w:rFonts w:ascii="Arial" w:hAnsi="Arial" w:cs="Arial"/>
          <w:snapToGrid w:val="0"/>
          <w:szCs w:val="20"/>
        </w:rPr>
        <w:t>outside of the borough</w:t>
      </w:r>
      <w:r w:rsidR="008249A4">
        <w:rPr>
          <w:rFonts w:ascii="Arial" w:hAnsi="Arial" w:cs="Arial"/>
          <w:snapToGrid w:val="0"/>
          <w:szCs w:val="20"/>
        </w:rPr>
        <w:t>.</w:t>
      </w:r>
    </w:p>
    <w:p w14:paraId="290130BB" w14:textId="5335C765" w:rsidR="00522A44" w:rsidRDefault="00522A44" w:rsidP="008764F6">
      <w:pPr>
        <w:ind w:left="720" w:hanging="720"/>
        <w:jc w:val="both"/>
        <w:rPr>
          <w:rFonts w:ascii="Arial" w:hAnsi="Arial" w:cs="Arial"/>
          <w:snapToGrid w:val="0"/>
          <w:szCs w:val="20"/>
        </w:rPr>
      </w:pPr>
    </w:p>
    <w:p w14:paraId="0C919D63" w14:textId="77777777" w:rsidR="00260A43" w:rsidRPr="003D350E" w:rsidRDefault="00260A43" w:rsidP="00260A43">
      <w:pPr>
        <w:rPr>
          <w:rFonts w:ascii="Arial" w:hAnsi="Arial"/>
        </w:rPr>
      </w:pPr>
    </w:p>
    <w:p w14:paraId="5569D927" w14:textId="265C0201" w:rsidR="00781323" w:rsidRDefault="00F90D93" w:rsidP="0078132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clear" w:pos="4153"/>
          <w:tab w:val="clear" w:pos="8306"/>
        </w:tabs>
        <w:ind w:left="705"/>
        <w:rPr>
          <w:rFonts w:cs="Arial"/>
          <w:b/>
        </w:rPr>
      </w:pPr>
      <w:bookmarkStart w:id="1" w:name="_Hlk98161817"/>
      <w:r>
        <w:rPr>
          <w:rFonts w:cs="Arial"/>
          <w:b/>
        </w:rPr>
        <w:t>Recommendation (</w:t>
      </w:r>
      <w:r w:rsidR="00FA46C8">
        <w:rPr>
          <w:rFonts w:cs="Arial"/>
          <w:b/>
        </w:rPr>
        <w:t>e</w:t>
      </w:r>
      <w:r w:rsidR="00781323" w:rsidRPr="0045585D">
        <w:rPr>
          <w:rFonts w:cs="Arial"/>
          <w:b/>
        </w:rPr>
        <w:t>)</w:t>
      </w:r>
    </w:p>
    <w:p w14:paraId="56404A9E" w14:textId="030F01BB" w:rsidR="00781323" w:rsidRPr="00781323" w:rsidRDefault="00781323" w:rsidP="002A71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clear" w:pos="4153"/>
          <w:tab w:val="clear" w:pos="8306"/>
        </w:tabs>
        <w:ind w:left="705"/>
      </w:pPr>
      <w:r>
        <w:rPr>
          <w:rFonts w:cs="Arial"/>
        </w:rPr>
        <w:t xml:space="preserve">School Forum notes the </w:t>
      </w:r>
      <w:r w:rsidR="008D3175">
        <w:rPr>
          <w:rFonts w:cs="Arial"/>
        </w:rPr>
        <w:t>2021-22 forecast deficit of £12.6m.</w:t>
      </w:r>
    </w:p>
    <w:p w14:paraId="6A957143" w14:textId="77777777" w:rsidR="00781323" w:rsidRPr="0045585D" w:rsidRDefault="00781323" w:rsidP="0078132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clear" w:pos="4153"/>
          <w:tab w:val="clear" w:pos="8306"/>
        </w:tabs>
        <w:ind w:left="705"/>
        <w:rPr>
          <w:rFonts w:cs="Arial"/>
          <w:b/>
        </w:rPr>
      </w:pPr>
    </w:p>
    <w:p w14:paraId="14111539" w14:textId="71C207B8" w:rsidR="002E441D" w:rsidRDefault="002E441D" w:rsidP="005143A3">
      <w:pPr>
        <w:pStyle w:val="Header"/>
        <w:tabs>
          <w:tab w:val="clear" w:pos="4153"/>
          <w:tab w:val="clear" w:pos="8306"/>
        </w:tabs>
        <w:jc w:val="both"/>
      </w:pPr>
    </w:p>
    <w:bookmarkEnd w:id="1"/>
    <w:p w14:paraId="3BAF252B" w14:textId="038C909F" w:rsidR="008D3175" w:rsidRDefault="008D3175" w:rsidP="005143A3">
      <w:pPr>
        <w:pStyle w:val="Header"/>
        <w:tabs>
          <w:tab w:val="clear" w:pos="4153"/>
          <w:tab w:val="clear" w:pos="8306"/>
        </w:tabs>
        <w:jc w:val="both"/>
      </w:pPr>
    </w:p>
    <w:p w14:paraId="38936B37" w14:textId="2FF83F55" w:rsidR="004976A9" w:rsidRDefault="00C86622" w:rsidP="005836BD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ind w:hanging="720"/>
        <w:jc w:val="both"/>
        <w:rPr>
          <w:b/>
          <w:bCs/>
        </w:rPr>
      </w:pPr>
      <w:r>
        <w:rPr>
          <w:b/>
          <w:bCs/>
        </w:rPr>
        <w:t xml:space="preserve">Consultation </w:t>
      </w:r>
    </w:p>
    <w:p w14:paraId="6EC52168" w14:textId="0F7EE9E3" w:rsidR="00C86622" w:rsidRDefault="00C86622" w:rsidP="00C86622">
      <w:pPr>
        <w:pStyle w:val="Header"/>
        <w:tabs>
          <w:tab w:val="clear" w:pos="4153"/>
          <w:tab w:val="clear" w:pos="8306"/>
        </w:tabs>
        <w:jc w:val="both"/>
        <w:rPr>
          <w:b/>
          <w:bCs/>
        </w:rPr>
      </w:pPr>
    </w:p>
    <w:p w14:paraId="7D8F729A" w14:textId="2BC2FBC4" w:rsidR="0091595A" w:rsidRDefault="00346DA3" w:rsidP="00AE2ADE">
      <w:pPr>
        <w:pStyle w:val="Header"/>
        <w:numPr>
          <w:ilvl w:val="1"/>
          <w:numId w:val="2"/>
        </w:numPr>
        <w:tabs>
          <w:tab w:val="clear" w:pos="4153"/>
          <w:tab w:val="clear" w:pos="8306"/>
        </w:tabs>
        <w:ind w:hanging="720"/>
        <w:jc w:val="both"/>
        <w:rPr>
          <w:szCs w:val="24"/>
        </w:rPr>
      </w:pPr>
      <w:r w:rsidRPr="00BB0635">
        <w:rPr>
          <w:szCs w:val="24"/>
        </w:rPr>
        <w:t xml:space="preserve">As part of </w:t>
      </w:r>
      <w:r w:rsidR="00E644A4" w:rsidRPr="00BB0635">
        <w:rPr>
          <w:szCs w:val="24"/>
        </w:rPr>
        <w:t xml:space="preserve">local authority </w:t>
      </w:r>
      <w:r w:rsidR="00960513">
        <w:rPr>
          <w:szCs w:val="24"/>
        </w:rPr>
        <w:t>School B</w:t>
      </w:r>
      <w:r w:rsidRPr="00BB0635">
        <w:rPr>
          <w:szCs w:val="24"/>
        </w:rPr>
        <w:t xml:space="preserve">udget setting </w:t>
      </w:r>
      <w:r w:rsidR="00FD33DB" w:rsidRPr="00BB0635">
        <w:rPr>
          <w:szCs w:val="24"/>
        </w:rPr>
        <w:t>e</w:t>
      </w:r>
      <w:r w:rsidR="00FD33DB">
        <w:rPr>
          <w:szCs w:val="24"/>
        </w:rPr>
        <w:t xml:space="preserve">xercise </w:t>
      </w:r>
      <w:r w:rsidR="00432207">
        <w:rPr>
          <w:szCs w:val="24"/>
        </w:rPr>
        <w:t>f</w:t>
      </w:r>
      <w:r w:rsidRPr="00BB0635">
        <w:rPr>
          <w:szCs w:val="24"/>
        </w:rPr>
        <w:t>or school</w:t>
      </w:r>
      <w:r w:rsidR="000F4872">
        <w:rPr>
          <w:szCs w:val="24"/>
        </w:rPr>
        <w:t>s’</w:t>
      </w:r>
      <w:r w:rsidRPr="00BB0635">
        <w:rPr>
          <w:szCs w:val="24"/>
        </w:rPr>
        <w:t xml:space="preserve"> and settings, it is good practice to conduct a consultation exercise with </w:t>
      </w:r>
      <w:r w:rsidR="00C95BFD" w:rsidRPr="00BB0635">
        <w:rPr>
          <w:szCs w:val="24"/>
        </w:rPr>
        <w:t>questions on proposed changes and revisions within the school b</w:t>
      </w:r>
      <w:r w:rsidR="00D82580">
        <w:rPr>
          <w:szCs w:val="24"/>
        </w:rPr>
        <w:t>udget and</w:t>
      </w:r>
      <w:r w:rsidR="001E6B1C">
        <w:rPr>
          <w:szCs w:val="24"/>
        </w:rPr>
        <w:t xml:space="preserve"> seek views of all schools as part of the process</w:t>
      </w:r>
      <w:r w:rsidR="00F25003" w:rsidRPr="00BB0635">
        <w:rPr>
          <w:szCs w:val="24"/>
        </w:rPr>
        <w:t xml:space="preserve"> of the APT</w:t>
      </w:r>
      <w:r w:rsidR="00514D4C" w:rsidRPr="00BB0635">
        <w:rPr>
          <w:szCs w:val="24"/>
        </w:rPr>
        <w:t xml:space="preserve"> prior to submission for final approval</w:t>
      </w:r>
      <w:r w:rsidR="009C060B">
        <w:rPr>
          <w:szCs w:val="24"/>
        </w:rPr>
        <w:t xml:space="preserve"> by</w:t>
      </w:r>
      <w:r w:rsidR="00514D4C" w:rsidRPr="00BB0635">
        <w:rPr>
          <w:szCs w:val="24"/>
        </w:rPr>
        <w:t xml:space="preserve"> the ESFA</w:t>
      </w:r>
      <w:r w:rsidR="00924A74">
        <w:rPr>
          <w:szCs w:val="24"/>
        </w:rPr>
        <w:t>/</w:t>
      </w:r>
      <w:r w:rsidR="00514D4C" w:rsidRPr="00BB0635">
        <w:rPr>
          <w:szCs w:val="24"/>
        </w:rPr>
        <w:t>DfE</w:t>
      </w:r>
      <w:r w:rsidR="0091595A">
        <w:rPr>
          <w:szCs w:val="24"/>
        </w:rPr>
        <w:t xml:space="preserve"> and to work with School Forum prior to Cabinet ratification.</w:t>
      </w:r>
      <w:r w:rsidR="00785B97">
        <w:rPr>
          <w:szCs w:val="24"/>
        </w:rPr>
        <w:t xml:space="preserve">  A consultation was conducted November</w:t>
      </w:r>
      <w:r w:rsidR="00D2748D">
        <w:rPr>
          <w:szCs w:val="24"/>
        </w:rPr>
        <w:t xml:space="preserve"> 2021.</w:t>
      </w:r>
    </w:p>
    <w:p w14:paraId="5C01B436" w14:textId="77777777" w:rsidR="0091595A" w:rsidRDefault="0091595A" w:rsidP="0091595A">
      <w:pPr>
        <w:pStyle w:val="Header"/>
        <w:tabs>
          <w:tab w:val="clear" w:pos="4153"/>
          <w:tab w:val="clear" w:pos="8306"/>
        </w:tabs>
        <w:ind w:left="720"/>
        <w:jc w:val="both"/>
        <w:rPr>
          <w:szCs w:val="24"/>
        </w:rPr>
      </w:pPr>
    </w:p>
    <w:p w14:paraId="12DF755F" w14:textId="032C77EF" w:rsidR="00C86622" w:rsidRPr="00BB0635" w:rsidRDefault="00514D4C" w:rsidP="00AE2ADE">
      <w:pPr>
        <w:pStyle w:val="Header"/>
        <w:numPr>
          <w:ilvl w:val="1"/>
          <w:numId w:val="2"/>
        </w:numPr>
        <w:tabs>
          <w:tab w:val="clear" w:pos="4153"/>
          <w:tab w:val="clear" w:pos="8306"/>
        </w:tabs>
        <w:ind w:hanging="720"/>
        <w:jc w:val="both"/>
        <w:rPr>
          <w:szCs w:val="24"/>
        </w:rPr>
      </w:pPr>
      <w:r w:rsidRPr="00BB0635">
        <w:rPr>
          <w:szCs w:val="24"/>
        </w:rPr>
        <w:t xml:space="preserve"> At the last School Forum meeting, members </w:t>
      </w:r>
      <w:r w:rsidR="00452854" w:rsidRPr="00BB0635">
        <w:rPr>
          <w:szCs w:val="24"/>
        </w:rPr>
        <w:t>raised questions on:</w:t>
      </w:r>
    </w:p>
    <w:p w14:paraId="64793206" w14:textId="77777777" w:rsidR="000E04E0" w:rsidRPr="00BB0635" w:rsidRDefault="000E04E0" w:rsidP="000E04E0">
      <w:pPr>
        <w:pStyle w:val="Header"/>
        <w:tabs>
          <w:tab w:val="clear" w:pos="4153"/>
          <w:tab w:val="clear" w:pos="8306"/>
        </w:tabs>
        <w:ind w:left="720"/>
        <w:jc w:val="both"/>
        <w:rPr>
          <w:szCs w:val="24"/>
        </w:rPr>
      </w:pPr>
    </w:p>
    <w:p w14:paraId="3D6CA183" w14:textId="77777777" w:rsidR="00AC3116" w:rsidRDefault="00452854" w:rsidP="00452854">
      <w:pPr>
        <w:pStyle w:val="Header"/>
        <w:numPr>
          <w:ilvl w:val="0"/>
          <w:numId w:val="42"/>
        </w:numPr>
        <w:tabs>
          <w:tab w:val="clear" w:pos="4153"/>
          <w:tab w:val="clear" w:pos="8306"/>
        </w:tabs>
        <w:jc w:val="both"/>
        <w:rPr>
          <w:i/>
          <w:iCs/>
          <w:szCs w:val="24"/>
        </w:rPr>
      </w:pPr>
      <w:r w:rsidRPr="00BB0635">
        <w:rPr>
          <w:szCs w:val="24"/>
        </w:rPr>
        <w:t>How many secondary schools submitted a response</w:t>
      </w:r>
      <w:r w:rsidR="000E04E0" w:rsidRPr="00BB0635">
        <w:rPr>
          <w:szCs w:val="24"/>
        </w:rPr>
        <w:t>?</w:t>
      </w:r>
      <w:r w:rsidR="00BB0635">
        <w:rPr>
          <w:szCs w:val="24"/>
        </w:rPr>
        <w:t xml:space="preserve"> </w:t>
      </w:r>
    </w:p>
    <w:p w14:paraId="7B76B121" w14:textId="155C1706" w:rsidR="00452854" w:rsidRDefault="00DD0677" w:rsidP="00AC3116">
      <w:pPr>
        <w:pStyle w:val="Header"/>
        <w:tabs>
          <w:tab w:val="clear" w:pos="4153"/>
          <w:tab w:val="clear" w:pos="8306"/>
        </w:tabs>
        <w:ind w:left="1425"/>
        <w:jc w:val="both"/>
        <w:rPr>
          <w:i/>
          <w:iCs/>
          <w:szCs w:val="24"/>
        </w:rPr>
      </w:pPr>
      <w:r>
        <w:rPr>
          <w:i/>
          <w:iCs/>
          <w:szCs w:val="24"/>
        </w:rPr>
        <w:lastRenderedPageBreak/>
        <w:t>6</w:t>
      </w:r>
      <w:r w:rsidR="00BB0635" w:rsidRPr="00BB0635">
        <w:rPr>
          <w:i/>
          <w:iCs/>
          <w:szCs w:val="24"/>
        </w:rPr>
        <w:t xml:space="preserve"> schools</w:t>
      </w:r>
      <w:r w:rsidR="00CE414A">
        <w:rPr>
          <w:i/>
          <w:iCs/>
          <w:szCs w:val="24"/>
        </w:rPr>
        <w:t xml:space="preserve"> responded</w:t>
      </w:r>
      <w:r w:rsidR="005E3322">
        <w:rPr>
          <w:i/>
          <w:iCs/>
          <w:szCs w:val="24"/>
        </w:rPr>
        <w:t xml:space="preserve"> (5,982 pupils)</w:t>
      </w:r>
      <w:r w:rsidR="00BB0635" w:rsidRPr="00BB0635">
        <w:rPr>
          <w:i/>
          <w:iCs/>
          <w:szCs w:val="24"/>
        </w:rPr>
        <w:t>.</w:t>
      </w:r>
    </w:p>
    <w:p w14:paraId="08EBF2C9" w14:textId="77777777" w:rsidR="00B92ED6" w:rsidRPr="00BB0635" w:rsidRDefault="00B92ED6" w:rsidP="00AC3116">
      <w:pPr>
        <w:pStyle w:val="Header"/>
        <w:tabs>
          <w:tab w:val="clear" w:pos="4153"/>
          <w:tab w:val="clear" w:pos="8306"/>
        </w:tabs>
        <w:ind w:left="1425"/>
        <w:jc w:val="both"/>
        <w:rPr>
          <w:i/>
          <w:iCs/>
          <w:szCs w:val="24"/>
        </w:rPr>
      </w:pPr>
    </w:p>
    <w:p w14:paraId="11C53DA0" w14:textId="37F9D498" w:rsidR="000E04E0" w:rsidRDefault="000E04E0" w:rsidP="00461B3D">
      <w:pPr>
        <w:pStyle w:val="Header"/>
        <w:numPr>
          <w:ilvl w:val="0"/>
          <w:numId w:val="42"/>
        </w:numPr>
        <w:tabs>
          <w:tab w:val="clear" w:pos="4153"/>
          <w:tab w:val="clear" w:pos="8306"/>
        </w:tabs>
        <w:rPr>
          <w:i/>
          <w:iCs/>
          <w:szCs w:val="24"/>
        </w:rPr>
      </w:pPr>
      <w:r w:rsidRPr="00BB0635">
        <w:rPr>
          <w:szCs w:val="24"/>
        </w:rPr>
        <w:t>Did the local authority receive a response from Harris Academy</w:t>
      </w:r>
      <w:r w:rsidR="005133B9">
        <w:rPr>
          <w:szCs w:val="24"/>
        </w:rPr>
        <w:t xml:space="preserve"> Trust</w:t>
      </w:r>
      <w:r w:rsidRPr="00BB0635">
        <w:rPr>
          <w:szCs w:val="24"/>
        </w:rPr>
        <w:t>?</w:t>
      </w:r>
      <w:r w:rsidR="00BB0635">
        <w:rPr>
          <w:szCs w:val="24"/>
        </w:rPr>
        <w:t xml:space="preserve"> </w:t>
      </w:r>
      <w:r w:rsidR="007F13F2">
        <w:rPr>
          <w:i/>
          <w:iCs/>
          <w:szCs w:val="24"/>
        </w:rPr>
        <w:t>No response was received to</w:t>
      </w:r>
      <w:r w:rsidR="00503A8C">
        <w:rPr>
          <w:i/>
          <w:iCs/>
          <w:szCs w:val="24"/>
        </w:rPr>
        <w:t xml:space="preserve"> the c</w:t>
      </w:r>
      <w:r w:rsidR="00461B3D">
        <w:rPr>
          <w:i/>
          <w:iCs/>
          <w:szCs w:val="24"/>
        </w:rPr>
        <w:t xml:space="preserve">onsultation </w:t>
      </w:r>
      <w:r w:rsidR="00642C01">
        <w:rPr>
          <w:i/>
          <w:iCs/>
          <w:szCs w:val="24"/>
        </w:rPr>
        <w:t xml:space="preserve">response email </w:t>
      </w:r>
      <w:r w:rsidR="00461B3D">
        <w:rPr>
          <w:i/>
          <w:iCs/>
          <w:szCs w:val="24"/>
        </w:rPr>
        <w:t>-</w:t>
      </w:r>
      <w:hyperlink r:id="rId12" w:history="1">
        <w:r w:rsidR="00B34C7C" w:rsidRPr="00B34C7C">
          <w:rPr>
            <w:rStyle w:val="Hyperlink"/>
            <w:i/>
            <w:iCs/>
            <w:sz w:val="18"/>
            <w:szCs w:val="18"/>
          </w:rPr>
          <w:t>Jayne.Ward@Merton.gov.uk</w:t>
        </w:r>
      </w:hyperlink>
      <w:r w:rsidR="00445E72">
        <w:rPr>
          <w:i/>
          <w:iCs/>
          <w:szCs w:val="24"/>
        </w:rPr>
        <w:t xml:space="preserve"> </w:t>
      </w:r>
    </w:p>
    <w:p w14:paraId="2097F532" w14:textId="77777777" w:rsidR="00BC7D94" w:rsidRPr="004D5665" w:rsidRDefault="00BC7D94" w:rsidP="00BC7D94">
      <w:pPr>
        <w:pStyle w:val="Header"/>
        <w:tabs>
          <w:tab w:val="clear" w:pos="4153"/>
          <w:tab w:val="clear" w:pos="8306"/>
        </w:tabs>
        <w:ind w:left="1425"/>
        <w:jc w:val="both"/>
        <w:rPr>
          <w:i/>
          <w:iCs/>
          <w:szCs w:val="24"/>
        </w:rPr>
      </w:pPr>
    </w:p>
    <w:p w14:paraId="019042F7" w14:textId="00FFB79E" w:rsidR="008A56DE" w:rsidRDefault="009578F7" w:rsidP="00ED726D">
      <w:pPr>
        <w:pStyle w:val="Header"/>
        <w:numPr>
          <w:ilvl w:val="1"/>
          <w:numId w:val="2"/>
        </w:numPr>
        <w:tabs>
          <w:tab w:val="clear" w:pos="4153"/>
          <w:tab w:val="clear" w:pos="8306"/>
        </w:tabs>
        <w:ind w:hanging="720"/>
        <w:jc w:val="both"/>
      </w:pPr>
      <w:r>
        <w:t>Members requested c</w:t>
      </w:r>
      <w:r w:rsidR="00563E83">
        <w:t>onfirmation</w:t>
      </w:r>
      <w:r w:rsidR="007C0609">
        <w:t xml:space="preserve"> from </w:t>
      </w:r>
      <w:r>
        <w:t xml:space="preserve">the </w:t>
      </w:r>
      <w:r w:rsidR="00026E32">
        <w:t>school c</w:t>
      </w:r>
      <w:r w:rsidR="007C0609">
        <w:t xml:space="preserve">onsultation </w:t>
      </w:r>
      <w:r w:rsidR="0094169C">
        <w:t xml:space="preserve">on </w:t>
      </w:r>
      <w:r w:rsidR="004071A8">
        <w:t xml:space="preserve">numbers of </w:t>
      </w:r>
      <w:r w:rsidR="00026E32">
        <w:t>r</w:t>
      </w:r>
      <w:r w:rsidR="007C0609">
        <w:t>es</w:t>
      </w:r>
      <w:r w:rsidR="004B194A">
        <w:t xml:space="preserve">ponses </w:t>
      </w:r>
      <w:r w:rsidR="004071A8">
        <w:t>to the</w:t>
      </w:r>
      <w:r w:rsidR="00640058">
        <w:t xml:space="preserve"> proposal </w:t>
      </w:r>
      <w:r w:rsidR="00396197" w:rsidRPr="00A25F95">
        <w:rPr>
          <w:rFonts w:cs="Arial"/>
        </w:rPr>
        <w:t>of</w:t>
      </w:r>
      <w:r w:rsidR="00035317">
        <w:t xml:space="preserve"> </w:t>
      </w:r>
      <w:r w:rsidR="00640058">
        <w:t>transferring</w:t>
      </w:r>
      <w:r w:rsidR="00035317">
        <w:t xml:space="preserve"> (5%) from the Schools Block to the High Needs Block as in previous years</w:t>
      </w:r>
      <w:r w:rsidR="007A34E7">
        <w:t>, e</w:t>
      </w:r>
      <w:r w:rsidR="00035317">
        <w:t>stimated to be about £698,000</w:t>
      </w:r>
      <w:r w:rsidR="006823D1">
        <w:t>.</w:t>
      </w:r>
      <w:r w:rsidR="00C137CB">
        <w:t xml:space="preserve"> Summary and pupil numbers</w:t>
      </w:r>
      <w:r w:rsidR="00E67047">
        <w:t xml:space="preserve"> for weighed response as table below:</w:t>
      </w:r>
    </w:p>
    <w:p w14:paraId="71BBC55E" w14:textId="77777777" w:rsidR="008A56DE" w:rsidRDefault="008A56DE" w:rsidP="008A56DE">
      <w:pPr>
        <w:pStyle w:val="Header"/>
        <w:tabs>
          <w:tab w:val="clear" w:pos="4153"/>
          <w:tab w:val="clear" w:pos="8306"/>
        </w:tabs>
        <w:jc w:val="both"/>
      </w:pPr>
    </w:p>
    <w:tbl>
      <w:tblPr>
        <w:tblW w:w="7655" w:type="dxa"/>
        <w:tblInd w:w="699" w:type="dxa"/>
        <w:tblLook w:val="04A0" w:firstRow="1" w:lastRow="0" w:firstColumn="1" w:lastColumn="0" w:noHBand="0" w:noVBand="1"/>
      </w:tblPr>
      <w:tblGrid>
        <w:gridCol w:w="597"/>
        <w:gridCol w:w="974"/>
        <w:gridCol w:w="981"/>
        <w:gridCol w:w="1275"/>
        <w:gridCol w:w="851"/>
        <w:gridCol w:w="992"/>
        <w:gridCol w:w="992"/>
        <w:gridCol w:w="1146"/>
      </w:tblGrid>
      <w:tr w:rsidR="00AD74D8" w14:paraId="0398F165" w14:textId="77777777" w:rsidTr="00E863F7">
        <w:trPr>
          <w:trHeight w:val="610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529F7" w14:textId="0703DF49" w:rsidR="0095376C" w:rsidRDefault="0095376C" w:rsidP="00AD74D8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1E67D9F3" w14:textId="77777777" w:rsidR="0095376C" w:rsidRDefault="0095376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Primary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21045D" w14:textId="77777777" w:rsidR="0095376C" w:rsidRDefault="0095376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Pupil numbers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3AB12965" w14:textId="77777777" w:rsidR="0095376C" w:rsidRDefault="0095376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Secondary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8DD7B7" w14:textId="77777777" w:rsidR="0095376C" w:rsidRDefault="0095376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Pupil numbers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11996106" w14:textId="77777777" w:rsidR="0095376C" w:rsidRDefault="0095376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Special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42BD8FA" w14:textId="77777777" w:rsidR="0095376C" w:rsidRDefault="0095376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TOTAL Pupil numbers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12FD8B1" w14:textId="77777777" w:rsidR="0095376C" w:rsidRDefault="00953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Weighted %</w:t>
            </w:r>
          </w:p>
        </w:tc>
      </w:tr>
      <w:tr w:rsidR="00AD74D8" w14:paraId="4CF96A77" w14:textId="77777777" w:rsidTr="00E863F7">
        <w:trPr>
          <w:trHeight w:val="2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E6E6E6"/>
            <w:vAlign w:val="center"/>
            <w:hideMark/>
          </w:tcPr>
          <w:p w14:paraId="1D71632B" w14:textId="77777777" w:rsidR="0095376C" w:rsidRDefault="0095376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63A4C" w14:textId="77777777" w:rsidR="0095376C" w:rsidRDefault="009537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2728A2" w14:textId="77777777" w:rsidR="0095376C" w:rsidRDefault="009537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EC371" w14:textId="77777777" w:rsidR="0095376C" w:rsidRDefault="009537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AC91CE" w14:textId="77777777" w:rsidR="0095376C" w:rsidRDefault="0095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257D0" w14:textId="77777777" w:rsidR="0095376C" w:rsidRDefault="009537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5CFA771" w14:textId="77777777" w:rsidR="0095376C" w:rsidRDefault="009537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A5794EF" w14:textId="77777777" w:rsidR="0095376C" w:rsidRDefault="009537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97%</w:t>
            </w:r>
          </w:p>
        </w:tc>
      </w:tr>
      <w:tr w:rsidR="00AD74D8" w14:paraId="26F03378" w14:textId="77777777" w:rsidTr="00E863F7">
        <w:trPr>
          <w:trHeight w:val="2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E6E6E6"/>
            <w:vAlign w:val="center"/>
            <w:hideMark/>
          </w:tcPr>
          <w:p w14:paraId="177648AD" w14:textId="77777777" w:rsidR="0095376C" w:rsidRDefault="0095376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No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EC879" w14:textId="77777777" w:rsidR="0095376C" w:rsidRDefault="009537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EDA991" w14:textId="77777777" w:rsidR="0095376C" w:rsidRDefault="009537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EF0D2" w14:textId="77777777" w:rsidR="0095376C" w:rsidRDefault="009537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B99DA0" w14:textId="77777777" w:rsidR="0095376C" w:rsidRDefault="0095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0EE58" w14:textId="77777777" w:rsidR="0095376C" w:rsidRDefault="009537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724A366" w14:textId="77777777" w:rsidR="0095376C" w:rsidRDefault="0095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39D5C70" w14:textId="77777777" w:rsidR="0095376C" w:rsidRDefault="009537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3%</w:t>
            </w:r>
          </w:p>
        </w:tc>
      </w:tr>
      <w:tr w:rsidR="00AD74D8" w14:paraId="598108E2" w14:textId="77777777" w:rsidTr="00E863F7">
        <w:trPr>
          <w:trHeight w:val="27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42F4" w14:textId="77777777" w:rsidR="0095376C" w:rsidRDefault="009537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C8BF7" w14:textId="77777777" w:rsidR="0095376C" w:rsidRDefault="00953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B727033" w14:textId="77777777" w:rsidR="0095376C" w:rsidRDefault="009537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73CE8" w14:textId="77777777" w:rsidR="0095376C" w:rsidRDefault="00953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7F844BB" w14:textId="77777777" w:rsidR="0095376C" w:rsidRDefault="009537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19979" w14:textId="77777777" w:rsidR="0095376C" w:rsidRDefault="00953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3196929" w14:textId="77777777" w:rsidR="0095376C" w:rsidRDefault="0095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0E41832" w14:textId="77777777" w:rsidR="0095376C" w:rsidRDefault="00953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14:paraId="5C990CF7" w14:textId="77777777" w:rsidR="008A56DE" w:rsidRDefault="008A56DE" w:rsidP="0095376C">
      <w:pPr>
        <w:pStyle w:val="Header"/>
        <w:tabs>
          <w:tab w:val="clear" w:pos="4153"/>
          <w:tab w:val="clear" w:pos="8306"/>
        </w:tabs>
        <w:ind w:left="720"/>
        <w:jc w:val="both"/>
      </w:pPr>
    </w:p>
    <w:p w14:paraId="3B883FF3" w14:textId="4B8F8974" w:rsidR="008E4A07" w:rsidRDefault="00035317" w:rsidP="008A56DE">
      <w:pPr>
        <w:pStyle w:val="Header"/>
        <w:tabs>
          <w:tab w:val="clear" w:pos="4153"/>
          <w:tab w:val="clear" w:pos="8306"/>
        </w:tabs>
        <w:jc w:val="both"/>
      </w:pPr>
      <w:r>
        <w:t xml:space="preserve"> </w:t>
      </w:r>
    </w:p>
    <w:p w14:paraId="6F8125DF" w14:textId="77777777" w:rsidR="008E4A07" w:rsidRDefault="008E4A07" w:rsidP="008E4A07">
      <w:pPr>
        <w:pStyle w:val="Header"/>
        <w:tabs>
          <w:tab w:val="clear" w:pos="4153"/>
          <w:tab w:val="clear" w:pos="8306"/>
        </w:tabs>
        <w:ind w:left="720"/>
        <w:jc w:val="both"/>
      </w:pPr>
    </w:p>
    <w:p w14:paraId="735E0C7E" w14:textId="1281070D" w:rsidR="00035317" w:rsidRPr="00035317" w:rsidRDefault="00A25F95" w:rsidP="00A126B8">
      <w:pPr>
        <w:pStyle w:val="Header"/>
        <w:numPr>
          <w:ilvl w:val="1"/>
          <w:numId w:val="2"/>
        </w:numPr>
        <w:tabs>
          <w:tab w:val="clear" w:pos="4153"/>
          <w:tab w:val="clear" w:pos="8306"/>
        </w:tabs>
        <w:ind w:hanging="720"/>
        <w:jc w:val="both"/>
      </w:pPr>
      <w:r>
        <w:t>A</w:t>
      </w:r>
      <w:r w:rsidR="008E4A07">
        <w:t>lso,</w:t>
      </w:r>
      <w:r>
        <w:t xml:space="preserve"> i</w:t>
      </w:r>
      <w:r w:rsidR="00035317">
        <w:t>n support of the DSG Recovery Plan</w:t>
      </w:r>
      <w:r w:rsidR="00C137CB">
        <w:t xml:space="preserve"> an</w:t>
      </w:r>
      <w:r w:rsidR="00035317">
        <w:t xml:space="preserve"> additional £500,000 (</w:t>
      </w:r>
      <w:r w:rsidR="00E67047">
        <w:t xml:space="preserve">for </w:t>
      </w:r>
      <w:r w:rsidR="00035317">
        <w:t xml:space="preserve">one year) from the Schools Block to the High Needs Block in support of the deficit recovery </w:t>
      </w:r>
      <w:r w:rsidR="00E67047">
        <w:t>plan and</w:t>
      </w:r>
      <w:r w:rsidR="00035317">
        <w:t xml:space="preserve"> working in conjunction with the DfE.  </w:t>
      </w:r>
      <w:r w:rsidR="00E67047">
        <w:t>Summary</w:t>
      </w:r>
      <w:r w:rsidR="00375C38">
        <w:t xml:space="preserve"> and pupil numbers for weighted response as table below:</w:t>
      </w:r>
    </w:p>
    <w:p w14:paraId="1982FE6B" w14:textId="53B28D41" w:rsidR="004B194A" w:rsidRDefault="004B194A" w:rsidP="004B194A">
      <w:pPr>
        <w:pStyle w:val="Header"/>
        <w:tabs>
          <w:tab w:val="clear" w:pos="4153"/>
          <w:tab w:val="clear" w:pos="8306"/>
        </w:tabs>
        <w:jc w:val="both"/>
      </w:pPr>
    </w:p>
    <w:tbl>
      <w:tblPr>
        <w:tblW w:w="7796" w:type="dxa"/>
        <w:tblInd w:w="699" w:type="dxa"/>
        <w:tblLook w:val="04A0" w:firstRow="1" w:lastRow="0" w:firstColumn="1" w:lastColumn="0" w:noHBand="0" w:noVBand="1"/>
      </w:tblPr>
      <w:tblGrid>
        <w:gridCol w:w="596"/>
        <w:gridCol w:w="980"/>
        <w:gridCol w:w="839"/>
        <w:gridCol w:w="1268"/>
        <w:gridCol w:w="839"/>
        <w:gridCol w:w="980"/>
        <w:gridCol w:w="980"/>
        <w:gridCol w:w="1314"/>
      </w:tblGrid>
      <w:tr w:rsidR="00E863F7" w14:paraId="20E959A2" w14:textId="77777777" w:rsidTr="00E863F7">
        <w:trPr>
          <w:trHeight w:val="610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50394" w14:textId="77777777" w:rsidR="00E863F7" w:rsidRDefault="00E863F7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47771D55" w14:textId="77777777" w:rsidR="00E863F7" w:rsidRDefault="00E863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Primary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AD142E" w14:textId="77777777" w:rsidR="00E863F7" w:rsidRDefault="00E863F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Pupil numbers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6DEBFB6E" w14:textId="77777777" w:rsidR="00E863F7" w:rsidRDefault="00E863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Secondary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19992F" w14:textId="77777777" w:rsidR="00E863F7" w:rsidRDefault="00E863F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Pupil numbers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1E165B0C" w14:textId="77777777" w:rsidR="00E863F7" w:rsidRDefault="00E863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Special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AAF8CF6" w14:textId="77777777" w:rsidR="00E863F7" w:rsidRDefault="00E863F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TOTAL Pupil numbers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14:paraId="1BBF9CA6" w14:textId="77777777" w:rsidR="00E863F7" w:rsidRDefault="00E863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Weighted %</w:t>
            </w:r>
          </w:p>
        </w:tc>
      </w:tr>
      <w:tr w:rsidR="00E863F7" w14:paraId="75160C41" w14:textId="77777777" w:rsidTr="00E863F7">
        <w:trPr>
          <w:trHeight w:val="2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E6E6E6"/>
            <w:vAlign w:val="center"/>
            <w:hideMark/>
          </w:tcPr>
          <w:p w14:paraId="332060B6" w14:textId="77777777" w:rsidR="00E863F7" w:rsidRDefault="00E863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Yes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AFD2E" w14:textId="77777777" w:rsidR="00E863F7" w:rsidRDefault="00E863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3FD077" w14:textId="77777777" w:rsidR="00E863F7" w:rsidRDefault="00E86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D175B" w14:textId="77777777" w:rsidR="00E863F7" w:rsidRDefault="00E863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E5EBC1" w14:textId="77777777" w:rsidR="00E863F7" w:rsidRDefault="00E86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221F5" w14:textId="77777777" w:rsidR="00E863F7" w:rsidRDefault="00E863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1F2D7B7D" w14:textId="77777777" w:rsidR="00E863F7" w:rsidRDefault="00E86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7,593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14:paraId="2EE728D4" w14:textId="77777777" w:rsidR="00E863F7" w:rsidRDefault="00E863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60%</w:t>
            </w:r>
          </w:p>
        </w:tc>
      </w:tr>
      <w:tr w:rsidR="00E863F7" w14:paraId="35B9FB93" w14:textId="77777777" w:rsidTr="00E863F7">
        <w:trPr>
          <w:trHeight w:val="2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E6E6E6"/>
            <w:vAlign w:val="center"/>
            <w:hideMark/>
          </w:tcPr>
          <w:p w14:paraId="69E0FF24" w14:textId="77777777" w:rsidR="00E863F7" w:rsidRDefault="00E863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8E6B6" w14:textId="77777777" w:rsidR="00E863F7" w:rsidRDefault="00E863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A7BDC5" w14:textId="77777777" w:rsidR="00E863F7" w:rsidRDefault="00E86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7E68A" w14:textId="77777777" w:rsidR="00E863F7" w:rsidRDefault="00E863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C409E9" w14:textId="77777777" w:rsidR="00E863F7" w:rsidRDefault="00E86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CF7F4" w14:textId="77777777" w:rsidR="00E863F7" w:rsidRDefault="00E863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38109FC" w14:textId="77777777" w:rsidR="00E863F7" w:rsidRDefault="00E86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5,016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14:paraId="0868C0D2" w14:textId="77777777" w:rsidR="00E863F7" w:rsidRDefault="00E863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40%</w:t>
            </w:r>
          </w:p>
        </w:tc>
      </w:tr>
      <w:tr w:rsidR="00E863F7" w14:paraId="77C4ABE4" w14:textId="77777777" w:rsidTr="00E863F7">
        <w:trPr>
          <w:trHeight w:val="27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1496" w14:textId="77777777" w:rsidR="00E863F7" w:rsidRDefault="00E863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3A4B1" w14:textId="77777777" w:rsidR="00E863F7" w:rsidRDefault="00E86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D721136" w14:textId="77777777" w:rsidR="00E863F7" w:rsidRDefault="00E86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6627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B2891" w14:textId="77777777" w:rsidR="00E863F7" w:rsidRDefault="00E86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3204EB7" w14:textId="77777777" w:rsidR="00E863F7" w:rsidRDefault="00E86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8AF0E" w14:textId="77777777" w:rsidR="00E863F7" w:rsidRDefault="00E86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45E06721" w14:textId="77777777" w:rsidR="00E863F7" w:rsidRDefault="00E86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4CE13BEC" w14:textId="77777777" w:rsidR="00E863F7" w:rsidRDefault="00E86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14:paraId="03E1D16E" w14:textId="77777777" w:rsidR="004B194A" w:rsidRDefault="004B194A" w:rsidP="00E863F7">
      <w:pPr>
        <w:pStyle w:val="Header"/>
        <w:tabs>
          <w:tab w:val="clear" w:pos="4153"/>
          <w:tab w:val="clear" w:pos="8306"/>
        </w:tabs>
        <w:ind w:left="705"/>
        <w:jc w:val="both"/>
      </w:pPr>
    </w:p>
    <w:p w14:paraId="37CD9ECC" w14:textId="5DF33189" w:rsidR="00E614C4" w:rsidRDefault="00E614C4" w:rsidP="00E614C4">
      <w:pPr>
        <w:pStyle w:val="Header"/>
        <w:tabs>
          <w:tab w:val="clear" w:pos="4153"/>
          <w:tab w:val="clear" w:pos="8306"/>
        </w:tabs>
        <w:jc w:val="both"/>
      </w:pPr>
    </w:p>
    <w:p w14:paraId="55C04D8E" w14:textId="77777777" w:rsidR="00E614C4" w:rsidRPr="009D5297" w:rsidRDefault="00E614C4" w:rsidP="00E614C4">
      <w:pPr>
        <w:pStyle w:val="Header"/>
        <w:tabs>
          <w:tab w:val="clear" w:pos="4153"/>
          <w:tab w:val="clear" w:pos="8306"/>
        </w:tabs>
        <w:jc w:val="both"/>
      </w:pPr>
    </w:p>
    <w:p w14:paraId="020177FE" w14:textId="29EF489C" w:rsidR="004976A9" w:rsidRDefault="004976A9" w:rsidP="004976A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clear" w:pos="4153"/>
          <w:tab w:val="clear" w:pos="8306"/>
        </w:tabs>
        <w:ind w:left="705"/>
        <w:rPr>
          <w:rFonts w:cs="Arial"/>
          <w:b/>
        </w:rPr>
      </w:pPr>
      <w:r>
        <w:rPr>
          <w:b/>
          <w:bCs/>
          <w:color w:val="FF0000"/>
        </w:rPr>
        <w:tab/>
      </w:r>
      <w:r>
        <w:rPr>
          <w:rFonts w:cs="Arial"/>
          <w:b/>
        </w:rPr>
        <w:t>Recommendation (f</w:t>
      </w:r>
      <w:r w:rsidRPr="0045585D">
        <w:rPr>
          <w:rFonts w:cs="Arial"/>
          <w:b/>
        </w:rPr>
        <w:t>)</w:t>
      </w:r>
    </w:p>
    <w:p w14:paraId="0D650A4B" w14:textId="51C2BAFB" w:rsidR="004976A9" w:rsidRPr="00781323" w:rsidRDefault="004976A9" w:rsidP="004976A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clear" w:pos="4153"/>
          <w:tab w:val="clear" w:pos="8306"/>
        </w:tabs>
        <w:ind w:left="705"/>
      </w:pPr>
      <w:r w:rsidRPr="004976A9">
        <w:t xml:space="preserve">Notes consultation feedback and </w:t>
      </w:r>
      <w:r w:rsidR="001C0A51">
        <w:t>S</w:t>
      </w:r>
      <w:r w:rsidRPr="004976A9">
        <w:t xml:space="preserve">chool </w:t>
      </w:r>
      <w:r w:rsidR="00D96E56">
        <w:t>Forum questions from last meeting 13 January 2022.</w:t>
      </w:r>
    </w:p>
    <w:p w14:paraId="78488981" w14:textId="77777777" w:rsidR="004976A9" w:rsidRPr="0045585D" w:rsidRDefault="004976A9" w:rsidP="004976A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clear" w:pos="4153"/>
          <w:tab w:val="clear" w:pos="8306"/>
        </w:tabs>
        <w:ind w:left="705"/>
        <w:rPr>
          <w:rFonts w:cs="Arial"/>
          <w:b/>
        </w:rPr>
      </w:pPr>
    </w:p>
    <w:p w14:paraId="11D01BCB" w14:textId="77777777" w:rsidR="004976A9" w:rsidRDefault="004976A9" w:rsidP="004976A9">
      <w:pPr>
        <w:pStyle w:val="Header"/>
        <w:tabs>
          <w:tab w:val="clear" w:pos="4153"/>
          <w:tab w:val="clear" w:pos="8306"/>
        </w:tabs>
        <w:jc w:val="both"/>
      </w:pPr>
    </w:p>
    <w:p w14:paraId="3947A6DA" w14:textId="77C6ED05" w:rsidR="004976A9" w:rsidRPr="004976A9" w:rsidRDefault="004976A9" w:rsidP="005143A3">
      <w:pPr>
        <w:pStyle w:val="Header"/>
        <w:tabs>
          <w:tab w:val="clear" w:pos="4153"/>
          <w:tab w:val="clear" w:pos="8306"/>
        </w:tabs>
        <w:jc w:val="both"/>
        <w:rPr>
          <w:b/>
          <w:bCs/>
          <w:color w:val="FF0000"/>
        </w:rPr>
      </w:pPr>
    </w:p>
    <w:p w14:paraId="3F61E768" w14:textId="77777777" w:rsidR="00A75E71" w:rsidRDefault="00A75E71" w:rsidP="005143A3">
      <w:pPr>
        <w:pStyle w:val="Header"/>
        <w:tabs>
          <w:tab w:val="clear" w:pos="4153"/>
          <w:tab w:val="clear" w:pos="8306"/>
        </w:tabs>
        <w:jc w:val="both"/>
      </w:pPr>
    </w:p>
    <w:p w14:paraId="3EB34F65" w14:textId="6DB5C2EF" w:rsidR="005F1A5A" w:rsidRPr="005F1A5A" w:rsidRDefault="005F1A5A" w:rsidP="00E87BAA">
      <w:pPr>
        <w:pStyle w:val="Header"/>
        <w:numPr>
          <w:ilvl w:val="0"/>
          <w:numId w:val="43"/>
        </w:numPr>
        <w:tabs>
          <w:tab w:val="clear" w:pos="4153"/>
          <w:tab w:val="clear" w:pos="8306"/>
        </w:tabs>
        <w:ind w:hanging="720"/>
        <w:rPr>
          <w:b/>
        </w:rPr>
      </w:pPr>
      <w:r>
        <w:rPr>
          <w:rFonts w:cs="Arial"/>
          <w:b/>
          <w:bCs/>
          <w:sz w:val="28"/>
        </w:rPr>
        <w:t>Financial, resource and property implications</w:t>
      </w:r>
    </w:p>
    <w:p w14:paraId="7FF9BA17" w14:textId="77777777" w:rsidR="00904A8D" w:rsidRDefault="00904A8D">
      <w:pPr>
        <w:pStyle w:val="Header"/>
        <w:tabs>
          <w:tab w:val="clear" w:pos="4153"/>
          <w:tab w:val="clear" w:pos="8306"/>
        </w:tabs>
        <w:rPr>
          <w:b/>
        </w:rPr>
      </w:pPr>
    </w:p>
    <w:p w14:paraId="2A6513D8" w14:textId="13EC7434" w:rsidR="00904A8D" w:rsidRDefault="00904A8D" w:rsidP="003568AB">
      <w:pPr>
        <w:pStyle w:val="Header"/>
        <w:numPr>
          <w:ilvl w:val="1"/>
          <w:numId w:val="39"/>
        </w:numPr>
        <w:tabs>
          <w:tab w:val="clear" w:pos="4153"/>
          <w:tab w:val="clear" w:pos="8306"/>
        </w:tabs>
        <w:ind w:hanging="720"/>
        <w:rPr>
          <w:bCs/>
        </w:rPr>
      </w:pPr>
      <w:r>
        <w:rPr>
          <w:bCs/>
        </w:rPr>
        <w:t>The financial implications are detailed in the main body of this report</w:t>
      </w:r>
      <w:r w:rsidR="00974BB9">
        <w:rPr>
          <w:bCs/>
        </w:rPr>
        <w:t>.</w:t>
      </w:r>
      <w:r>
        <w:rPr>
          <w:bCs/>
        </w:rPr>
        <w:br/>
      </w:r>
    </w:p>
    <w:p w14:paraId="02B71951" w14:textId="354AE7E2" w:rsidR="00904A8D" w:rsidRDefault="00904A8D" w:rsidP="00F74ED7">
      <w:pPr>
        <w:pStyle w:val="Header"/>
        <w:numPr>
          <w:ilvl w:val="0"/>
          <w:numId w:val="39"/>
        </w:numPr>
        <w:tabs>
          <w:tab w:val="clear" w:pos="4153"/>
          <w:tab w:val="clear" w:pos="8306"/>
        </w:tabs>
        <w:ind w:hanging="720"/>
        <w:rPr>
          <w:b/>
        </w:rPr>
      </w:pPr>
      <w:r>
        <w:rPr>
          <w:rFonts w:cs="Arial"/>
          <w:b/>
          <w:bCs/>
          <w:sz w:val="28"/>
        </w:rPr>
        <w:t>Legal and statutory implications</w:t>
      </w:r>
      <w:r>
        <w:rPr>
          <w:b/>
        </w:rPr>
        <w:br/>
      </w:r>
    </w:p>
    <w:p w14:paraId="4552F5B8" w14:textId="0114ADD3" w:rsidR="00904A8D" w:rsidRDefault="00904A8D" w:rsidP="00F74ED7">
      <w:pPr>
        <w:pStyle w:val="Header"/>
        <w:numPr>
          <w:ilvl w:val="1"/>
          <w:numId w:val="39"/>
        </w:numPr>
        <w:tabs>
          <w:tab w:val="clear" w:pos="4153"/>
          <w:tab w:val="clear" w:pos="8306"/>
        </w:tabs>
        <w:ind w:hanging="720"/>
      </w:pPr>
      <w:r>
        <w:t xml:space="preserve">No legal implications at this stage. </w:t>
      </w:r>
    </w:p>
    <w:p w14:paraId="1AA95DA7" w14:textId="77777777" w:rsidR="00904A8D" w:rsidRDefault="00904A8D">
      <w:pPr>
        <w:pStyle w:val="Header"/>
        <w:tabs>
          <w:tab w:val="clear" w:pos="4153"/>
          <w:tab w:val="clear" w:pos="8306"/>
        </w:tabs>
        <w:ind w:left="285" w:hanging="285"/>
        <w:rPr>
          <w:b/>
        </w:rPr>
      </w:pPr>
    </w:p>
    <w:p w14:paraId="6E7A96EC" w14:textId="22B38F23" w:rsidR="00904A8D" w:rsidRDefault="00904A8D" w:rsidP="00F74ED7">
      <w:pPr>
        <w:pStyle w:val="Header"/>
        <w:numPr>
          <w:ilvl w:val="0"/>
          <w:numId w:val="39"/>
        </w:numPr>
        <w:tabs>
          <w:tab w:val="clear" w:pos="4153"/>
          <w:tab w:val="clear" w:pos="8306"/>
        </w:tabs>
        <w:ind w:hanging="720"/>
        <w:rPr>
          <w:b/>
        </w:rPr>
      </w:pPr>
      <w:r>
        <w:rPr>
          <w:rFonts w:cs="Arial"/>
          <w:b/>
          <w:bCs/>
          <w:sz w:val="28"/>
        </w:rPr>
        <w:t>Human rights, equalities and community cohesion implications</w:t>
      </w:r>
      <w:r>
        <w:rPr>
          <w:b/>
        </w:rPr>
        <w:br/>
      </w:r>
    </w:p>
    <w:p w14:paraId="6FFCD1F8" w14:textId="766E776C" w:rsidR="00904A8D" w:rsidRDefault="00904A8D" w:rsidP="003568AB">
      <w:pPr>
        <w:pStyle w:val="Header"/>
        <w:numPr>
          <w:ilvl w:val="1"/>
          <w:numId w:val="7"/>
        </w:numPr>
        <w:tabs>
          <w:tab w:val="clear" w:pos="4153"/>
          <w:tab w:val="clear" w:pos="8306"/>
        </w:tabs>
        <w:ind w:hanging="705"/>
      </w:pPr>
      <w:r>
        <w:t>None at this stage.</w:t>
      </w:r>
    </w:p>
    <w:p w14:paraId="4491DCAB" w14:textId="77777777" w:rsidR="002F6C59" w:rsidRDefault="002F6C59" w:rsidP="00FF0D9A">
      <w:pPr>
        <w:pStyle w:val="Header"/>
        <w:tabs>
          <w:tab w:val="clear" w:pos="4153"/>
          <w:tab w:val="clear" w:pos="8306"/>
        </w:tabs>
        <w:ind w:left="705"/>
      </w:pPr>
    </w:p>
    <w:p w14:paraId="51100935" w14:textId="77777777" w:rsidR="00904A8D" w:rsidRDefault="00904A8D" w:rsidP="001F1EB3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ind w:left="709" w:hanging="709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lastRenderedPageBreak/>
        <w:t>Appendices</w:t>
      </w:r>
    </w:p>
    <w:p w14:paraId="6F3E28AB" w14:textId="77777777" w:rsidR="00904A8D" w:rsidRDefault="00904A8D">
      <w:pPr>
        <w:pStyle w:val="Header"/>
        <w:tabs>
          <w:tab w:val="clear" w:pos="4153"/>
          <w:tab w:val="clear" w:pos="8306"/>
        </w:tabs>
      </w:pPr>
    </w:p>
    <w:p w14:paraId="3EAB0FF9" w14:textId="05A99869" w:rsidR="00904A8D" w:rsidRPr="0077759D" w:rsidRDefault="00F73079" w:rsidP="001F1EB3">
      <w:pPr>
        <w:pStyle w:val="Header"/>
        <w:numPr>
          <w:ilvl w:val="1"/>
          <w:numId w:val="7"/>
        </w:numPr>
        <w:tabs>
          <w:tab w:val="clear" w:pos="4153"/>
          <w:tab w:val="clear" w:pos="8306"/>
        </w:tabs>
        <w:ind w:left="900" w:hanging="900"/>
      </w:pPr>
      <w:r w:rsidRPr="0077759D">
        <w:t xml:space="preserve">Appendix </w:t>
      </w:r>
      <w:r w:rsidR="00A24B40">
        <w:t>A</w:t>
      </w:r>
      <w:r w:rsidRPr="0077759D">
        <w:t xml:space="preserve">: </w:t>
      </w:r>
      <w:r w:rsidR="004419DB">
        <w:t xml:space="preserve">2022-23 De-delegated </w:t>
      </w:r>
      <w:r w:rsidR="00DA280F" w:rsidRPr="0077759D">
        <w:t>a</w:t>
      </w:r>
      <w:r w:rsidRPr="0077759D">
        <w:t>llocation</w:t>
      </w:r>
      <w:r w:rsidR="00DD2FA7" w:rsidRPr="0077759D">
        <w:t>s</w:t>
      </w:r>
    </w:p>
    <w:p w14:paraId="2D17895E" w14:textId="39E94C3D" w:rsidR="0077759D" w:rsidRPr="0077759D" w:rsidRDefault="00F73079" w:rsidP="001F1EB3">
      <w:pPr>
        <w:pStyle w:val="Header"/>
        <w:numPr>
          <w:ilvl w:val="1"/>
          <w:numId w:val="7"/>
        </w:numPr>
        <w:tabs>
          <w:tab w:val="clear" w:pos="4153"/>
          <w:tab w:val="clear" w:pos="8306"/>
        </w:tabs>
        <w:ind w:left="900" w:hanging="900"/>
      </w:pPr>
      <w:r w:rsidRPr="0077759D">
        <w:t xml:space="preserve">Appendix </w:t>
      </w:r>
      <w:r w:rsidR="004419DB">
        <w:t>B</w:t>
      </w:r>
      <w:r w:rsidRPr="0077759D">
        <w:t xml:space="preserve">: </w:t>
      </w:r>
      <w:r w:rsidR="0077759D" w:rsidRPr="0077759D">
        <w:t>2022/23 and 2021/22 comparable funding allocations</w:t>
      </w:r>
    </w:p>
    <w:p w14:paraId="43909401" w14:textId="6E7742F1" w:rsidR="00F73079" w:rsidRPr="0077759D" w:rsidRDefault="0077759D" w:rsidP="001F1EB3">
      <w:pPr>
        <w:pStyle w:val="Header"/>
        <w:numPr>
          <w:ilvl w:val="1"/>
          <w:numId w:val="7"/>
        </w:numPr>
        <w:tabs>
          <w:tab w:val="clear" w:pos="4153"/>
          <w:tab w:val="clear" w:pos="8306"/>
        </w:tabs>
        <w:ind w:left="900" w:hanging="900"/>
      </w:pPr>
      <w:r w:rsidRPr="0077759D">
        <w:t xml:space="preserve">Appendix </w:t>
      </w:r>
      <w:r w:rsidR="004419DB">
        <w:t>C</w:t>
      </w:r>
      <w:r w:rsidRPr="0077759D">
        <w:t xml:space="preserve">: 2022/23 </w:t>
      </w:r>
      <w:r w:rsidR="004419DB">
        <w:t>Final APT</w:t>
      </w:r>
    </w:p>
    <w:p w14:paraId="3245FBFE" w14:textId="7C9F600C" w:rsidR="00F73079" w:rsidRDefault="00904A8D">
      <w:pPr>
        <w:pStyle w:val="Header"/>
        <w:tabs>
          <w:tab w:val="clear" w:pos="4153"/>
          <w:tab w:val="clear" w:pos="8306"/>
        </w:tabs>
      </w:pPr>
      <w:r>
        <w:tab/>
      </w:r>
    </w:p>
    <w:p w14:paraId="0934B568" w14:textId="77777777" w:rsidR="001846C3" w:rsidRDefault="001846C3">
      <w:pPr>
        <w:pStyle w:val="Header"/>
        <w:tabs>
          <w:tab w:val="clear" w:pos="4153"/>
          <w:tab w:val="clear" w:pos="8306"/>
        </w:tabs>
      </w:pPr>
    </w:p>
    <w:p w14:paraId="41E0FBF7" w14:textId="77777777" w:rsidR="00904A8D" w:rsidRDefault="00904A8D" w:rsidP="001F1EB3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ind w:left="709" w:hanging="709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Background Papers – the following documents have been relied on in drawing up this report but do not form part of the report: </w:t>
      </w:r>
    </w:p>
    <w:p w14:paraId="6F2F1183" w14:textId="77777777" w:rsidR="00904A8D" w:rsidRDefault="00904A8D">
      <w:pPr>
        <w:pStyle w:val="Header"/>
        <w:tabs>
          <w:tab w:val="clear" w:pos="4153"/>
          <w:tab w:val="clear" w:pos="8306"/>
        </w:tabs>
        <w:rPr>
          <w:rFonts w:cs="Arial"/>
          <w:b/>
          <w:bCs/>
          <w:sz w:val="28"/>
        </w:rPr>
      </w:pPr>
    </w:p>
    <w:p w14:paraId="7BBFC62C" w14:textId="77777777" w:rsidR="00904A8D" w:rsidRDefault="00904A8D" w:rsidP="001F1EB3">
      <w:pPr>
        <w:pStyle w:val="Header"/>
        <w:numPr>
          <w:ilvl w:val="1"/>
          <w:numId w:val="7"/>
        </w:numPr>
        <w:tabs>
          <w:tab w:val="clear" w:pos="4153"/>
          <w:tab w:val="clear" w:pos="8306"/>
          <w:tab w:val="left" w:pos="720"/>
        </w:tabs>
        <w:ind w:hanging="720"/>
        <w:jc w:val="both"/>
      </w:pPr>
      <w:r>
        <w:t xml:space="preserve">Centrally held financial information and other papers held by the </w:t>
      </w:r>
      <w:smartTag w:uri="urn:schemas-microsoft-com:office:smarttags" w:element="place">
        <w:smartTag w:uri="urn:schemas-microsoft-com:office:smarttags" w:element="PlaceName">
          <w:r>
            <w:t>Children</w:t>
          </w:r>
        </w:smartTag>
        <w:r>
          <w:t xml:space="preserve"> </w:t>
        </w:r>
        <w:smartTag w:uri="urn:schemas-microsoft-com:office:smarttags" w:element="PlaceType">
          <w:r>
            <w:t>Schools</w:t>
          </w:r>
        </w:smartTag>
      </w:smartTag>
      <w:r>
        <w:t xml:space="preserve"> and Families Finance Team.</w:t>
      </w:r>
    </w:p>
    <w:p w14:paraId="0722824B" w14:textId="77777777" w:rsidR="00904A8D" w:rsidRDefault="00904A8D">
      <w:pPr>
        <w:pStyle w:val="Header"/>
        <w:tabs>
          <w:tab w:val="clear" w:pos="4153"/>
          <w:tab w:val="clear" w:pos="8306"/>
        </w:tabs>
      </w:pPr>
    </w:p>
    <w:p w14:paraId="51ED37E9" w14:textId="77777777" w:rsidR="00904A8D" w:rsidRDefault="00904A8D" w:rsidP="001F1EB3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ind w:left="709" w:hanging="72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Report </w:t>
      </w:r>
      <w:r w:rsidR="00173E2C">
        <w:rPr>
          <w:rFonts w:cs="Arial"/>
          <w:b/>
          <w:bCs/>
          <w:sz w:val="28"/>
        </w:rPr>
        <w:t xml:space="preserve">lead </w:t>
      </w:r>
      <w:r>
        <w:rPr>
          <w:rFonts w:cs="Arial"/>
          <w:b/>
          <w:bCs/>
          <w:sz w:val="28"/>
        </w:rPr>
        <w:t>author</w:t>
      </w:r>
    </w:p>
    <w:p w14:paraId="1486B61F" w14:textId="77777777" w:rsidR="00904A8D" w:rsidRDefault="00904A8D">
      <w:pPr>
        <w:pStyle w:val="Header"/>
        <w:tabs>
          <w:tab w:val="clear" w:pos="4153"/>
          <w:tab w:val="clear" w:pos="8306"/>
        </w:tabs>
      </w:pPr>
    </w:p>
    <w:p w14:paraId="0F0579E3" w14:textId="2546A384" w:rsidR="00904A8D" w:rsidRDefault="00260A43" w:rsidP="000E0B28">
      <w:pPr>
        <w:pStyle w:val="Header"/>
        <w:tabs>
          <w:tab w:val="clear" w:pos="4153"/>
          <w:tab w:val="clear" w:pos="8306"/>
        </w:tabs>
        <w:ind w:firstLine="709"/>
      </w:pPr>
      <w:r>
        <w:t>Pat</w:t>
      </w:r>
      <w:r w:rsidR="00E15051">
        <w:t xml:space="preserve"> Harvey</w:t>
      </w:r>
      <w:r>
        <w:t>, CYP</w:t>
      </w:r>
      <w:r w:rsidR="002E441D">
        <w:t xml:space="preserve"> Financial Adviser </w:t>
      </w:r>
      <w:r w:rsidR="00904A8D">
        <w:t xml:space="preserve">    </w:t>
      </w:r>
    </w:p>
    <w:p w14:paraId="6021BCE6" w14:textId="77777777" w:rsidR="00904A8D" w:rsidRDefault="00197198" w:rsidP="000E0B28">
      <w:pPr>
        <w:pStyle w:val="Header"/>
        <w:tabs>
          <w:tab w:val="clear" w:pos="4153"/>
          <w:tab w:val="clear" w:pos="8306"/>
        </w:tabs>
        <w:ind w:firstLine="709"/>
      </w:pPr>
      <w:r>
        <w:t>0208 545 3946</w:t>
      </w:r>
    </w:p>
    <w:p w14:paraId="0958AFAE" w14:textId="19E847D1" w:rsidR="00904A8D" w:rsidRDefault="000E0B28" w:rsidP="000E0B28">
      <w:pPr>
        <w:pStyle w:val="Header"/>
        <w:tabs>
          <w:tab w:val="clear" w:pos="4153"/>
          <w:tab w:val="clear" w:pos="8306"/>
        </w:tabs>
        <w:ind w:firstLine="709"/>
        <w:rPr>
          <w:rStyle w:val="Hyperlink"/>
        </w:rPr>
      </w:pPr>
      <w:hyperlink r:id="rId13" w:history="1">
        <w:r w:rsidRPr="00A36919">
          <w:rPr>
            <w:rStyle w:val="Hyperlink"/>
          </w:rPr>
          <w:t>Patricia.Harvey@merton.gov.uk</w:t>
        </w:r>
      </w:hyperlink>
    </w:p>
    <w:p w14:paraId="196670FF" w14:textId="77777777" w:rsidR="002E441D" w:rsidRDefault="002E441D">
      <w:pPr>
        <w:pStyle w:val="Header"/>
        <w:tabs>
          <w:tab w:val="clear" w:pos="4153"/>
          <w:tab w:val="clear" w:pos="8306"/>
        </w:tabs>
      </w:pPr>
    </w:p>
    <w:p w14:paraId="1B139F80" w14:textId="656994C8" w:rsidR="00904A8D" w:rsidRDefault="00904A8D" w:rsidP="000E0B28">
      <w:pPr>
        <w:pStyle w:val="Header"/>
        <w:tabs>
          <w:tab w:val="clear" w:pos="4153"/>
          <w:tab w:val="clear" w:pos="8306"/>
        </w:tabs>
        <w:ind w:left="709"/>
        <w:rPr>
          <w:b/>
          <w:sz w:val="36"/>
        </w:rPr>
      </w:pPr>
      <w:r>
        <w:t xml:space="preserve">Further information about Merton Council can be obtained from its web site </w:t>
      </w:r>
      <w:hyperlink r:id="rId14" w:history="1">
        <w:r w:rsidR="00131E29" w:rsidRPr="00A36919">
          <w:rPr>
            <w:rStyle w:val="Hyperlink"/>
          </w:rPr>
          <w:t>www.merton.gov.uk</w:t>
        </w:r>
      </w:hyperlink>
      <w:r>
        <w:t xml:space="preserve"> </w:t>
      </w:r>
    </w:p>
    <w:sectPr w:rsidR="00904A8D" w:rsidSect="00036376">
      <w:footerReference w:type="default" r:id="rId15"/>
      <w:pgSz w:w="11906" w:h="16838"/>
      <w:pgMar w:top="709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59F09" w14:textId="77777777" w:rsidR="00BA5CAA" w:rsidRDefault="00BA5CAA">
      <w:r>
        <w:separator/>
      </w:r>
    </w:p>
  </w:endnote>
  <w:endnote w:type="continuationSeparator" w:id="0">
    <w:p w14:paraId="531E1108" w14:textId="77777777" w:rsidR="00BA5CAA" w:rsidRDefault="00BA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mall 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15F3" w14:textId="31A2DF23" w:rsidR="00D21DA1" w:rsidRDefault="00D21DA1" w:rsidP="00C2683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0358">
      <w:rPr>
        <w:rStyle w:val="PageNumber"/>
        <w:noProof/>
      </w:rPr>
      <w:t>26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D20EA" w14:textId="77777777" w:rsidR="00BA5CAA" w:rsidRDefault="00BA5CAA">
      <w:r>
        <w:separator/>
      </w:r>
    </w:p>
  </w:footnote>
  <w:footnote w:type="continuationSeparator" w:id="0">
    <w:p w14:paraId="29FDDE03" w14:textId="77777777" w:rsidR="00BA5CAA" w:rsidRDefault="00BA5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4442"/>
    <w:multiLevelType w:val="hybridMultilevel"/>
    <w:tmpl w:val="D8FCD7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A6E30"/>
    <w:multiLevelType w:val="multilevel"/>
    <w:tmpl w:val="2BC8FD12"/>
    <w:lvl w:ilvl="0">
      <w:start w:val="7"/>
      <w:numFmt w:val="decimal"/>
      <w:lvlText w:val="%1"/>
      <w:lvlJc w:val="left"/>
      <w:pPr>
        <w:ind w:left="525" w:hanging="52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Arial" w:hint="default"/>
      </w:rPr>
    </w:lvl>
  </w:abstractNum>
  <w:abstractNum w:abstractNumId="2" w15:restartNumberingAfterBreak="0">
    <w:nsid w:val="17763420"/>
    <w:multiLevelType w:val="hybridMultilevel"/>
    <w:tmpl w:val="DE0C02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696E68"/>
    <w:multiLevelType w:val="multilevel"/>
    <w:tmpl w:val="9E4074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A6D7A90"/>
    <w:multiLevelType w:val="multilevel"/>
    <w:tmpl w:val="735AA2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E3D38A4"/>
    <w:multiLevelType w:val="multilevel"/>
    <w:tmpl w:val="3D703F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E9A3877"/>
    <w:multiLevelType w:val="multilevel"/>
    <w:tmpl w:val="EFB0F3E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681E69"/>
    <w:multiLevelType w:val="multilevel"/>
    <w:tmpl w:val="22BA7B66"/>
    <w:lvl w:ilvl="0">
      <w:start w:val="5"/>
      <w:numFmt w:val="decimal"/>
      <w:lvlText w:val="%1."/>
      <w:lvlJc w:val="left"/>
      <w:pPr>
        <w:ind w:left="720" w:hanging="360"/>
      </w:pPr>
      <w:rPr>
        <w:rFonts w:cs="Arial"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472398"/>
    <w:multiLevelType w:val="hybridMultilevel"/>
    <w:tmpl w:val="501E0576"/>
    <w:lvl w:ilvl="0" w:tplc="B9265FF2">
      <w:start w:val="1"/>
      <w:numFmt w:val="decimal"/>
      <w:lvlText w:val="3.%1"/>
      <w:lvlJc w:val="left"/>
      <w:pPr>
        <w:tabs>
          <w:tab w:val="num" w:pos="927"/>
        </w:tabs>
        <w:ind w:left="927" w:hanging="567"/>
      </w:pPr>
      <w:rPr>
        <w:rFonts w:ascii="Arial" w:hAnsi="Aria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000F45"/>
    <w:multiLevelType w:val="hybridMultilevel"/>
    <w:tmpl w:val="1182F1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0C237D"/>
    <w:multiLevelType w:val="hybridMultilevel"/>
    <w:tmpl w:val="69CE7FE2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7C571F0"/>
    <w:multiLevelType w:val="hybridMultilevel"/>
    <w:tmpl w:val="915265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697150"/>
    <w:multiLevelType w:val="hybridMultilevel"/>
    <w:tmpl w:val="E8D0034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2CEF08B8"/>
    <w:multiLevelType w:val="hybridMultilevel"/>
    <w:tmpl w:val="782EF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5280C"/>
    <w:multiLevelType w:val="multilevel"/>
    <w:tmpl w:val="FEE08686"/>
    <w:lvl w:ilvl="0">
      <w:start w:val="6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8E6135"/>
    <w:multiLevelType w:val="multilevel"/>
    <w:tmpl w:val="DDC43A84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4A360B"/>
    <w:multiLevelType w:val="multilevel"/>
    <w:tmpl w:val="E0687A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EB861F5"/>
    <w:multiLevelType w:val="hybridMultilevel"/>
    <w:tmpl w:val="9B8E17CC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3EDB2AC6"/>
    <w:multiLevelType w:val="multilevel"/>
    <w:tmpl w:val="5F465D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F8E66CF"/>
    <w:multiLevelType w:val="multilevel"/>
    <w:tmpl w:val="E43A2B4A"/>
    <w:lvl w:ilvl="0">
      <w:start w:val="4"/>
      <w:numFmt w:val="decimal"/>
      <w:lvlText w:val="%1"/>
      <w:lvlJc w:val="left"/>
      <w:pPr>
        <w:ind w:left="720" w:hanging="360"/>
      </w:pPr>
      <w:rPr>
        <w:rFonts w:cs="Arial"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6B429AE"/>
    <w:multiLevelType w:val="multilevel"/>
    <w:tmpl w:val="4B822C62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9BE4621"/>
    <w:multiLevelType w:val="multilevel"/>
    <w:tmpl w:val="31F29E2A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Arial" w:hint="default"/>
      </w:rPr>
    </w:lvl>
  </w:abstractNum>
  <w:abstractNum w:abstractNumId="22" w15:restartNumberingAfterBreak="0">
    <w:nsid w:val="4AFB48CA"/>
    <w:multiLevelType w:val="hybridMultilevel"/>
    <w:tmpl w:val="61EC2750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535F31A4"/>
    <w:multiLevelType w:val="multilevel"/>
    <w:tmpl w:val="6BBA477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39F3D40"/>
    <w:multiLevelType w:val="multilevel"/>
    <w:tmpl w:val="032A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4C310DB"/>
    <w:multiLevelType w:val="hybridMultilevel"/>
    <w:tmpl w:val="7B026F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C40273"/>
    <w:multiLevelType w:val="multilevel"/>
    <w:tmpl w:val="4178F5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742443D"/>
    <w:multiLevelType w:val="hybridMultilevel"/>
    <w:tmpl w:val="53C4F9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837928"/>
    <w:multiLevelType w:val="hybridMultilevel"/>
    <w:tmpl w:val="A0EC2F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453B86"/>
    <w:multiLevelType w:val="hybridMultilevel"/>
    <w:tmpl w:val="88A6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51812"/>
    <w:multiLevelType w:val="multilevel"/>
    <w:tmpl w:val="032A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36D0863"/>
    <w:multiLevelType w:val="multilevel"/>
    <w:tmpl w:val="F57C37D4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169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535632B"/>
    <w:multiLevelType w:val="multilevel"/>
    <w:tmpl w:val="393045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67327B2"/>
    <w:multiLevelType w:val="hybridMultilevel"/>
    <w:tmpl w:val="B78C0D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9E2627"/>
    <w:multiLevelType w:val="multilevel"/>
    <w:tmpl w:val="E132DF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0094611"/>
    <w:multiLevelType w:val="hybridMultilevel"/>
    <w:tmpl w:val="604829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034C5C"/>
    <w:multiLevelType w:val="hybridMultilevel"/>
    <w:tmpl w:val="6E38C0AC"/>
    <w:lvl w:ilvl="0" w:tplc="7736AF10">
      <w:start w:val="5"/>
      <w:numFmt w:val="decimal"/>
      <w:lvlText w:val="%1"/>
      <w:lvlJc w:val="left"/>
      <w:pPr>
        <w:ind w:left="720" w:hanging="360"/>
      </w:pPr>
      <w:rPr>
        <w:rFonts w:cs="Arial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E5A16"/>
    <w:multiLevelType w:val="hybridMultilevel"/>
    <w:tmpl w:val="03D66AFC"/>
    <w:lvl w:ilvl="0" w:tplc="FFFFFFFF">
      <w:start w:val="2"/>
      <w:numFmt w:val="upperLetter"/>
      <w:pStyle w:val="Heading7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8A4646"/>
    <w:multiLevelType w:val="hybridMultilevel"/>
    <w:tmpl w:val="479A70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8B2095"/>
    <w:multiLevelType w:val="multilevel"/>
    <w:tmpl w:val="A0021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Arial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Arial" w:hint="default"/>
        <w:sz w:val="22"/>
      </w:rPr>
    </w:lvl>
  </w:abstractNum>
  <w:abstractNum w:abstractNumId="40" w15:restartNumberingAfterBreak="0">
    <w:nsid w:val="7CA508D4"/>
    <w:multiLevelType w:val="hybridMultilevel"/>
    <w:tmpl w:val="D932FB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AA5097"/>
    <w:multiLevelType w:val="hybridMultilevel"/>
    <w:tmpl w:val="D932FB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7016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9CEB3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921F4A">
      <w:start w:val="1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956E15"/>
    <w:multiLevelType w:val="multilevel"/>
    <w:tmpl w:val="D3CCC924"/>
    <w:lvl w:ilvl="0">
      <w:start w:val="3"/>
      <w:numFmt w:val="decimal"/>
      <w:lvlText w:val="%1"/>
      <w:lvlJc w:val="left"/>
      <w:pPr>
        <w:ind w:left="1060" w:hanging="1060"/>
      </w:pPr>
      <w:rPr>
        <w:rFonts w:hint="default"/>
      </w:rPr>
    </w:lvl>
    <w:lvl w:ilvl="1">
      <w:start w:val="2021"/>
      <w:numFmt w:val="decimal"/>
      <w:lvlText w:val="%1.%2"/>
      <w:lvlJc w:val="left"/>
      <w:pPr>
        <w:ind w:left="1060" w:hanging="1060"/>
      </w:pPr>
      <w:rPr>
        <w:rFonts w:hint="default"/>
      </w:rPr>
    </w:lvl>
    <w:lvl w:ilvl="2">
      <w:start w:val="22"/>
      <w:numFmt w:val="decimal"/>
      <w:lvlText w:val="%1.%2-%3"/>
      <w:lvlJc w:val="left"/>
      <w:pPr>
        <w:ind w:left="1060" w:hanging="106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32"/>
  </w:num>
  <w:num w:numId="3">
    <w:abstractNumId w:val="39"/>
  </w:num>
  <w:num w:numId="4">
    <w:abstractNumId w:val="41"/>
  </w:num>
  <w:num w:numId="5">
    <w:abstractNumId w:val="8"/>
  </w:num>
  <w:num w:numId="6">
    <w:abstractNumId w:val="11"/>
  </w:num>
  <w:num w:numId="7">
    <w:abstractNumId w:val="1"/>
  </w:num>
  <w:num w:numId="8">
    <w:abstractNumId w:val="22"/>
  </w:num>
  <w:num w:numId="9">
    <w:abstractNumId w:val="15"/>
  </w:num>
  <w:num w:numId="10">
    <w:abstractNumId w:val="6"/>
  </w:num>
  <w:num w:numId="11">
    <w:abstractNumId w:val="9"/>
  </w:num>
  <w:num w:numId="12">
    <w:abstractNumId w:val="0"/>
  </w:num>
  <w:num w:numId="13">
    <w:abstractNumId w:val="2"/>
  </w:num>
  <w:num w:numId="14">
    <w:abstractNumId w:val="13"/>
  </w:num>
  <w:num w:numId="15">
    <w:abstractNumId w:val="26"/>
  </w:num>
  <w:num w:numId="16">
    <w:abstractNumId w:val="25"/>
  </w:num>
  <w:num w:numId="17">
    <w:abstractNumId w:val="4"/>
  </w:num>
  <w:num w:numId="18">
    <w:abstractNumId w:val="31"/>
  </w:num>
  <w:num w:numId="19">
    <w:abstractNumId w:val="24"/>
  </w:num>
  <w:num w:numId="20">
    <w:abstractNumId w:val="38"/>
  </w:num>
  <w:num w:numId="21">
    <w:abstractNumId w:val="33"/>
  </w:num>
  <w:num w:numId="22">
    <w:abstractNumId w:val="28"/>
  </w:num>
  <w:num w:numId="23">
    <w:abstractNumId w:val="30"/>
  </w:num>
  <w:num w:numId="24">
    <w:abstractNumId w:val="34"/>
  </w:num>
  <w:num w:numId="25">
    <w:abstractNumId w:val="18"/>
  </w:num>
  <w:num w:numId="26">
    <w:abstractNumId w:val="35"/>
  </w:num>
  <w:num w:numId="27">
    <w:abstractNumId w:val="16"/>
  </w:num>
  <w:num w:numId="28">
    <w:abstractNumId w:val="23"/>
  </w:num>
  <w:num w:numId="29">
    <w:abstractNumId w:val="14"/>
  </w:num>
  <w:num w:numId="30">
    <w:abstractNumId w:val="20"/>
  </w:num>
  <w:num w:numId="31">
    <w:abstractNumId w:val="12"/>
  </w:num>
  <w:num w:numId="32">
    <w:abstractNumId w:val="21"/>
  </w:num>
  <w:num w:numId="33">
    <w:abstractNumId w:val="3"/>
  </w:num>
  <w:num w:numId="34">
    <w:abstractNumId w:val="40"/>
  </w:num>
  <w:num w:numId="35">
    <w:abstractNumId w:val="27"/>
  </w:num>
  <w:num w:numId="36">
    <w:abstractNumId w:val="29"/>
  </w:num>
  <w:num w:numId="37">
    <w:abstractNumId w:val="42"/>
  </w:num>
  <w:num w:numId="38">
    <w:abstractNumId w:val="19"/>
  </w:num>
  <w:num w:numId="39">
    <w:abstractNumId w:val="7"/>
  </w:num>
  <w:num w:numId="40">
    <w:abstractNumId w:val="5"/>
  </w:num>
  <w:num w:numId="41">
    <w:abstractNumId w:val="10"/>
  </w:num>
  <w:num w:numId="42">
    <w:abstractNumId w:val="17"/>
  </w:num>
  <w:num w:numId="43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72F"/>
    <w:rsid w:val="00007962"/>
    <w:rsid w:val="00010188"/>
    <w:rsid w:val="00010E9D"/>
    <w:rsid w:val="000157EC"/>
    <w:rsid w:val="000159C0"/>
    <w:rsid w:val="00022685"/>
    <w:rsid w:val="00024025"/>
    <w:rsid w:val="00026579"/>
    <w:rsid w:val="00026E32"/>
    <w:rsid w:val="00026E61"/>
    <w:rsid w:val="00026EBB"/>
    <w:rsid w:val="000278AC"/>
    <w:rsid w:val="000304B0"/>
    <w:rsid w:val="000318FF"/>
    <w:rsid w:val="000320EB"/>
    <w:rsid w:val="00035317"/>
    <w:rsid w:val="00036376"/>
    <w:rsid w:val="00037246"/>
    <w:rsid w:val="00040312"/>
    <w:rsid w:val="00040358"/>
    <w:rsid w:val="00044021"/>
    <w:rsid w:val="00044A5E"/>
    <w:rsid w:val="000460BA"/>
    <w:rsid w:val="0004781C"/>
    <w:rsid w:val="00056EB5"/>
    <w:rsid w:val="000627EF"/>
    <w:rsid w:val="00062E50"/>
    <w:rsid w:val="00063277"/>
    <w:rsid w:val="00063D6B"/>
    <w:rsid w:val="00066094"/>
    <w:rsid w:val="00067037"/>
    <w:rsid w:val="00075F50"/>
    <w:rsid w:val="000777B9"/>
    <w:rsid w:val="00081C6E"/>
    <w:rsid w:val="00082785"/>
    <w:rsid w:val="000861C4"/>
    <w:rsid w:val="000862C6"/>
    <w:rsid w:val="0009021C"/>
    <w:rsid w:val="00091824"/>
    <w:rsid w:val="0009256C"/>
    <w:rsid w:val="00092BE4"/>
    <w:rsid w:val="000951AD"/>
    <w:rsid w:val="00096262"/>
    <w:rsid w:val="00097655"/>
    <w:rsid w:val="000A1E78"/>
    <w:rsid w:val="000A47A9"/>
    <w:rsid w:val="000B0877"/>
    <w:rsid w:val="000B182C"/>
    <w:rsid w:val="000B201E"/>
    <w:rsid w:val="000B2CD2"/>
    <w:rsid w:val="000B7ABC"/>
    <w:rsid w:val="000C15D0"/>
    <w:rsid w:val="000C2CD5"/>
    <w:rsid w:val="000C3C7B"/>
    <w:rsid w:val="000C5DBA"/>
    <w:rsid w:val="000C6058"/>
    <w:rsid w:val="000C61F6"/>
    <w:rsid w:val="000D02E3"/>
    <w:rsid w:val="000D61EE"/>
    <w:rsid w:val="000E04E0"/>
    <w:rsid w:val="000E0B28"/>
    <w:rsid w:val="000F322E"/>
    <w:rsid w:val="000F32C4"/>
    <w:rsid w:val="000F36DD"/>
    <w:rsid w:val="000F3970"/>
    <w:rsid w:val="000F4872"/>
    <w:rsid w:val="000F4A7B"/>
    <w:rsid w:val="000F6229"/>
    <w:rsid w:val="001028E2"/>
    <w:rsid w:val="001031E0"/>
    <w:rsid w:val="00103D71"/>
    <w:rsid w:val="00103FF0"/>
    <w:rsid w:val="001042CD"/>
    <w:rsid w:val="0011007A"/>
    <w:rsid w:val="00111990"/>
    <w:rsid w:val="0011668E"/>
    <w:rsid w:val="00116A5F"/>
    <w:rsid w:val="00120C18"/>
    <w:rsid w:val="00124E53"/>
    <w:rsid w:val="00125184"/>
    <w:rsid w:val="00126591"/>
    <w:rsid w:val="0012744F"/>
    <w:rsid w:val="00130CB0"/>
    <w:rsid w:val="00131E29"/>
    <w:rsid w:val="001354F5"/>
    <w:rsid w:val="0013595A"/>
    <w:rsid w:val="001368B7"/>
    <w:rsid w:val="0013788A"/>
    <w:rsid w:val="0014076F"/>
    <w:rsid w:val="00140D00"/>
    <w:rsid w:val="00141A2C"/>
    <w:rsid w:val="00141AE7"/>
    <w:rsid w:val="001421B7"/>
    <w:rsid w:val="0014263D"/>
    <w:rsid w:val="00150060"/>
    <w:rsid w:val="0015553C"/>
    <w:rsid w:val="001561B2"/>
    <w:rsid w:val="00165D1D"/>
    <w:rsid w:val="00171DEA"/>
    <w:rsid w:val="00173E2C"/>
    <w:rsid w:val="00175045"/>
    <w:rsid w:val="001758A5"/>
    <w:rsid w:val="00175C0B"/>
    <w:rsid w:val="00175EB1"/>
    <w:rsid w:val="0018141A"/>
    <w:rsid w:val="0018352D"/>
    <w:rsid w:val="001846C3"/>
    <w:rsid w:val="00185B84"/>
    <w:rsid w:val="00186501"/>
    <w:rsid w:val="0019010D"/>
    <w:rsid w:val="00193A3C"/>
    <w:rsid w:val="001944D9"/>
    <w:rsid w:val="001947E9"/>
    <w:rsid w:val="00196F7A"/>
    <w:rsid w:val="00197198"/>
    <w:rsid w:val="001B339F"/>
    <w:rsid w:val="001B7400"/>
    <w:rsid w:val="001C0A51"/>
    <w:rsid w:val="001C389E"/>
    <w:rsid w:val="001C408C"/>
    <w:rsid w:val="001C5A28"/>
    <w:rsid w:val="001D1EA9"/>
    <w:rsid w:val="001D29DB"/>
    <w:rsid w:val="001E4452"/>
    <w:rsid w:val="001E4A61"/>
    <w:rsid w:val="001E6912"/>
    <w:rsid w:val="001E6B1C"/>
    <w:rsid w:val="001E6E11"/>
    <w:rsid w:val="001F02D4"/>
    <w:rsid w:val="001F1EB3"/>
    <w:rsid w:val="001F2A8C"/>
    <w:rsid w:val="001F443F"/>
    <w:rsid w:val="00201B93"/>
    <w:rsid w:val="00201EBA"/>
    <w:rsid w:val="00202901"/>
    <w:rsid w:val="00203386"/>
    <w:rsid w:val="002035FD"/>
    <w:rsid w:val="0020402F"/>
    <w:rsid w:val="002117C6"/>
    <w:rsid w:val="00212912"/>
    <w:rsid w:val="002157C8"/>
    <w:rsid w:val="00216A33"/>
    <w:rsid w:val="00217523"/>
    <w:rsid w:val="002222E3"/>
    <w:rsid w:val="00225DC1"/>
    <w:rsid w:val="00227519"/>
    <w:rsid w:val="00234A9F"/>
    <w:rsid w:val="00237FF3"/>
    <w:rsid w:val="00243B14"/>
    <w:rsid w:val="00250BD7"/>
    <w:rsid w:val="00251A73"/>
    <w:rsid w:val="002550DA"/>
    <w:rsid w:val="00260A43"/>
    <w:rsid w:val="00261438"/>
    <w:rsid w:val="002616EA"/>
    <w:rsid w:val="002667A3"/>
    <w:rsid w:val="002706D3"/>
    <w:rsid w:val="00271C00"/>
    <w:rsid w:val="00273BCF"/>
    <w:rsid w:val="00274A3F"/>
    <w:rsid w:val="00284116"/>
    <w:rsid w:val="00284411"/>
    <w:rsid w:val="002A011D"/>
    <w:rsid w:val="002A0D82"/>
    <w:rsid w:val="002A1D0D"/>
    <w:rsid w:val="002A2005"/>
    <w:rsid w:val="002A7141"/>
    <w:rsid w:val="002A73C3"/>
    <w:rsid w:val="002B0B2C"/>
    <w:rsid w:val="002B1F69"/>
    <w:rsid w:val="002C0C82"/>
    <w:rsid w:val="002C568B"/>
    <w:rsid w:val="002C5FF1"/>
    <w:rsid w:val="002C6AEF"/>
    <w:rsid w:val="002D0CEB"/>
    <w:rsid w:val="002D0F23"/>
    <w:rsid w:val="002D2451"/>
    <w:rsid w:val="002D2562"/>
    <w:rsid w:val="002E032A"/>
    <w:rsid w:val="002E0490"/>
    <w:rsid w:val="002E1D9D"/>
    <w:rsid w:val="002E1F54"/>
    <w:rsid w:val="002E441D"/>
    <w:rsid w:val="002E547D"/>
    <w:rsid w:val="002E5D2C"/>
    <w:rsid w:val="002E6C06"/>
    <w:rsid w:val="002F05DB"/>
    <w:rsid w:val="002F17FA"/>
    <w:rsid w:val="002F1814"/>
    <w:rsid w:val="002F4F10"/>
    <w:rsid w:val="002F5511"/>
    <w:rsid w:val="002F6A35"/>
    <w:rsid w:val="002F6C59"/>
    <w:rsid w:val="002F7309"/>
    <w:rsid w:val="0030125A"/>
    <w:rsid w:val="00301840"/>
    <w:rsid w:val="0030333A"/>
    <w:rsid w:val="00303732"/>
    <w:rsid w:val="00303C69"/>
    <w:rsid w:val="003077FB"/>
    <w:rsid w:val="00307F66"/>
    <w:rsid w:val="00310565"/>
    <w:rsid w:val="00311D78"/>
    <w:rsid w:val="003127EE"/>
    <w:rsid w:val="00313899"/>
    <w:rsid w:val="00313AFF"/>
    <w:rsid w:val="0031582F"/>
    <w:rsid w:val="00317C58"/>
    <w:rsid w:val="00320A19"/>
    <w:rsid w:val="00320AA0"/>
    <w:rsid w:val="00321A72"/>
    <w:rsid w:val="0032305F"/>
    <w:rsid w:val="003262B6"/>
    <w:rsid w:val="00331275"/>
    <w:rsid w:val="00332060"/>
    <w:rsid w:val="00332BD5"/>
    <w:rsid w:val="0033306E"/>
    <w:rsid w:val="003352AC"/>
    <w:rsid w:val="003367D4"/>
    <w:rsid w:val="003371B6"/>
    <w:rsid w:val="00342A06"/>
    <w:rsid w:val="00343C21"/>
    <w:rsid w:val="00346DA3"/>
    <w:rsid w:val="003562D3"/>
    <w:rsid w:val="003568AB"/>
    <w:rsid w:val="00360EF4"/>
    <w:rsid w:val="00362BEB"/>
    <w:rsid w:val="00366B1E"/>
    <w:rsid w:val="003706F1"/>
    <w:rsid w:val="003714C2"/>
    <w:rsid w:val="00372507"/>
    <w:rsid w:val="0037587E"/>
    <w:rsid w:val="00375C38"/>
    <w:rsid w:val="00376D31"/>
    <w:rsid w:val="00376DD0"/>
    <w:rsid w:val="0038046C"/>
    <w:rsid w:val="003837A5"/>
    <w:rsid w:val="00383DBC"/>
    <w:rsid w:val="00390079"/>
    <w:rsid w:val="00392E14"/>
    <w:rsid w:val="00394485"/>
    <w:rsid w:val="00394795"/>
    <w:rsid w:val="00395565"/>
    <w:rsid w:val="00396197"/>
    <w:rsid w:val="003A0E57"/>
    <w:rsid w:val="003A53EB"/>
    <w:rsid w:val="003B426F"/>
    <w:rsid w:val="003B6B04"/>
    <w:rsid w:val="003B6F54"/>
    <w:rsid w:val="003B7407"/>
    <w:rsid w:val="003C29E8"/>
    <w:rsid w:val="003D350E"/>
    <w:rsid w:val="003D490F"/>
    <w:rsid w:val="003D56B7"/>
    <w:rsid w:val="003D687C"/>
    <w:rsid w:val="003E3D4B"/>
    <w:rsid w:val="003E4823"/>
    <w:rsid w:val="003E5BB7"/>
    <w:rsid w:val="003F426A"/>
    <w:rsid w:val="003F7818"/>
    <w:rsid w:val="004031EF"/>
    <w:rsid w:val="00404639"/>
    <w:rsid w:val="0040523F"/>
    <w:rsid w:val="004071A8"/>
    <w:rsid w:val="00407BC6"/>
    <w:rsid w:val="00411C33"/>
    <w:rsid w:val="0041573F"/>
    <w:rsid w:val="0041604C"/>
    <w:rsid w:val="004167E1"/>
    <w:rsid w:val="00416C5C"/>
    <w:rsid w:val="00417B68"/>
    <w:rsid w:val="00417CF1"/>
    <w:rsid w:val="0042131A"/>
    <w:rsid w:val="004220DA"/>
    <w:rsid w:val="00424D25"/>
    <w:rsid w:val="004268C9"/>
    <w:rsid w:val="00432207"/>
    <w:rsid w:val="004339F5"/>
    <w:rsid w:val="00435D60"/>
    <w:rsid w:val="00436B97"/>
    <w:rsid w:val="00440F42"/>
    <w:rsid w:val="004410EB"/>
    <w:rsid w:val="00441731"/>
    <w:rsid w:val="004419DB"/>
    <w:rsid w:val="004442C3"/>
    <w:rsid w:val="004452D0"/>
    <w:rsid w:val="00445E72"/>
    <w:rsid w:val="00446806"/>
    <w:rsid w:val="0044761F"/>
    <w:rsid w:val="00451102"/>
    <w:rsid w:val="0045246E"/>
    <w:rsid w:val="00452854"/>
    <w:rsid w:val="004543EF"/>
    <w:rsid w:val="0045585D"/>
    <w:rsid w:val="00456E65"/>
    <w:rsid w:val="004612A6"/>
    <w:rsid w:val="00461B3D"/>
    <w:rsid w:val="004651BE"/>
    <w:rsid w:val="00467515"/>
    <w:rsid w:val="00467ED0"/>
    <w:rsid w:val="00472299"/>
    <w:rsid w:val="00472BB6"/>
    <w:rsid w:val="00474AAC"/>
    <w:rsid w:val="00480102"/>
    <w:rsid w:val="004811B9"/>
    <w:rsid w:val="0048158E"/>
    <w:rsid w:val="0048394B"/>
    <w:rsid w:val="00484399"/>
    <w:rsid w:val="004850A3"/>
    <w:rsid w:val="0048537B"/>
    <w:rsid w:val="004862E9"/>
    <w:rsid w:val="004873E5"/>
    <w:rsid w:val="004879F8"/>
    <w:rsid w:val="004902AD"/>
    <w:rsid w:val="00491398"/>
    <w:rsid w:val="00491F50"/>
    <w:rsid w:val="00492301"/>
    <w:rsid w:val="00494538"/>
    <w:rsid w:val="00494B02"/>
    <w:rsid w:val="00495169"/>
    <w:rsid w:val="0049758F"/>
    <w:rsid w:val="004976A9"/>
    <w:rsid w:val="00497AE8"/>
    <w:rsid w:val="004A3FCF"/>
    <w:rsid w:val="004A6898"/>
    <w:rsid w:val="004B0F59"/>
    <w:rsid w:val="004B194A"/>
    <w:rsid w:val="004B2529"/>
    <w:rsid w:val="004B28E2"/>
    <w:rsid w:val="004B47DE"/>
    <w:rsid w:val="004B57D4"/>
    <w:rsid w:val="004C0AEE"/>
    <w:rsid w:val="004C1D51"/>
    <w:rsid w:val="004C26F6"/>
    <w:rsid w:val="004C465A"/>
    <w:rsid w:val="004C4B47"/>
    <w:rsid w:val="004C79E7"/>
    <w:rsid w:val="004D28DF"/>
    <w:rsid w:val="004D370E"/>
    <w:rsid w:val="004D3EEF"/>
    <w:rsid w:val="004D5665"/>
    <w:rsid w:val="004D66BD"/>
    <w:rsid w:val="004E3719"/>
    <w:rsid w:val="004E6094"/>
    <w:rsid w:val="004F2D71"/>
    <w:rsid w:val="004F722A"/>
    <w:rsid w:val="00500611"/>
    <w:rsid w:val="00501763"/>
    <w:rsid w:val="00502787"/>
    <w:rsid w:val="0050282F"/>
    <w:rsid w:val="00503A8C"/>
    <w:rsid w:val="00504449"/>
    <w:rsid w:val="005075FD"/>
    <w:rsid w:val="00510738"/>
    <w:rsid w:val="00510EBD"/>
    <w:rsid w:val="005117EA"/>
    <w:rsid w:val="00511CB6"/>
    <w:rsid w:val="005122BC"/>
    <w:rsid w:val="005133B9"/>
    <w:rsid w:val="005134CC"/>
    <w:rsid w:val="005143A3"/>
    <w:rsid w:val="0051480E"/>
    <w:rsid w:val="00514D4C"/>
    <w:rsid w:val="00516B1F"/>
    <w:rsid w:val="005175A2"/>
    <w:rsid w:val="00517862"/>
    <w:rsid w:val="00517E06"/>
    <w:rsid w:val="00522A44"/>
    <w:rsid w:val="0052405D"/>
    <w:rsid w:val="00530049"/>
    <w:rsid w:val="00530617"/>
    <w:rsid w:val="005310E1"/>
    <w:rsid w:val="0053247D"/>
    <w:rsid w:val="00533E9D"/>
    <w:rsid w:val="0053595A"/>
    <w:rsid w:val="005361CB"/>
    <w:rsid w:val="005450EB"/>
    <w:rsid w:val="00552174"/>
    <w:rsid w:val="00554497"/>
    <w:rsid w:val="005549CF"/>
    <w:rsid w:val="005623FC"/>
    <w:rsid w:val="00563E83"/>
    <w:rsid w:val="00570CEC"/>
    <w:rsid w:val="0057222F"/>
    <w:rsid w:val="00573963"/>
    <w:rsid w:val="0058037A"/>
    <w:rsid w:val="00580905"/>
    <w:rsid w:val="005811A1"/>
    <w:rsid w:val="005836BD"/>
    <w:rsid w:val="00583BAD"/>
    <w:rsid w:val="005862DE"/>
    <w:rsid w:val="005866A2"/>
    <w:rsid w:val="00586932"/>
    <w:rsid w:val="00587F20"/>
    <w:rsid w:val="005976CA"/>
    <w:rsid w:val="005A2505"/>
    <w:rsid w:val="005A6B8F"/>
    <w:rsid w:val="005B0075"/>
    <w:rsid w:val="005B03F1"/>
    <w:rsid w:val="005B1BE3"/>
    <w:rsid w:val="005B6254"/>
    <w:rsid w:val="005B7058"/>
    <w:rsid w:val="005B7EFD"/>
    <w:rsid w:val="005C06EC"/>
    <w:rsid w:val="005C13AE"/>
    <w:rsid w:val="005C1D66"/>
    <w:rsid w:val="005C3EA8"/>
    <w:rsid w:val="005C6E23"/>
    <w:rsid w:val="005C7170"/>
    <w:rsid w:val="005D0FEC"/>
    <w:rsid w:val="005D70B1"/>
    <w:rsid w:val="005E04AE"/>
    <w:rsid w:val="005E27A3"/>
    <w:rsid w:val="005E3322"/>
    <w:rsid w:val="005E4C16"/>
    <w:rsid w:val="005E7E6D"/>
    <w:rsid w:val="005F1A5A"/>
    <w:rsid w:val="005F3DBA"/>
    <w:rsid w:val="005F7000"/>
    <w:rsid w:val="005F7B33"/>
    <w:rsid w:val="006100DA"/>
    <w:rsid w:val="00610494"/>
    <w:rsid w:val="006149FD"/>
    <w:rsid w:val="00616A3B"/>
    <w:rsid w:val="0061728F"/>
    <w:rsid w:val="00617705"/>
    <w:rsid w:val="00617C5B"/>
    <w:rsid w:val="0062004C"/>
    <w:rsid w:val="00622DA2"/>
    <w:rsid w:val="006236D8"/>
    <w:rsid w:val="00631B76"/>
    <w:rsid w:val="006348F4"/>
    <w:rsid w:val="0063722E"/>
    <w:rsid w:val="00640058"/>
    <w:rsid w:val="006408FE"/>
    <w:rsid w:val="00642C01"/>
    <w:rsid w:val="0064458A"/>
    <w:rsid w:val="0064760A"/>
    <w:rsid w:val="00657380"/>
    <w:rsid w:val="00660902"/>
    <w:rsid w:val="006611E3"/>
    <w:rsid w:val="00663BD2"/>
    <w:rsid w:val="00664FDC"/>
    <w:rsid w:val="00666F5D"/>
    <w:rsid w:val="0067028A"/>
    <w:rsid w:val="00672CDF"/>
    <w:rsid w:val="00672DDA"/>
    <w:rsid w:val="00673EDC"/>
    <w:rsid w:val="006763F3"/>
    <w:rsid w:val="006823D1"/>
    <w:rsid w:val="00682A97"/>
    <w:rsid w:val="00683B04"/>
    <w:rsid w:val="006844C4"/>
    <w:rsid w:val="00695AC2"/>
    <w:rsid w:val="0069621F"/>
    <w:rsid w:val="0069696A"/>
    <w:rsid w:val="00697880"/>
    <w:rsid w:val="006A054B"/>
    <w:rsid w:val="006A1CB0"/>
    <w:rsid w:val="006A2BA3"/>
    <w:rsid w:val="006A3290"/>
    <w:rsid w:val="006A345F"/>
    <w:rsid w:val="006A34A9"/>
    <w:rsid w:val="006A59B2"/>
    <w:rsid w:val="006A6ECC"/>
    <w:rsid w:val="006A705C"/>
    <w:rsid w:val="006B14F3"/>
    <w:rsid w:val="006B48E0"/>
    <w:rsid w:val="006B7812"/>
    <w:rsid w:val="006C0ADB"/>
    <w:rsid w:val="006C0C14"/>
    <w:rsid w:val="006C5BA0"/>
    <w:rsid w:val="006C6CCA"/>
    <w:rsid w:val="006C74B7"/>
    <w:rsid w:val="006D1897"/>
    <w:rsid w:val="006D3AF0"/>
    <w:rsid w:val="006E003B"/>
    <w:rsid w:val="006E43C6"/>
    <w:rsid w:val="006E6621"/>
    <w:rsid w:val="006E68E1"/>
    <w:rsid w:val="006F0D71"/>
    <w:rsid w:val="006F4E48"/>
    <w:rsid w:val="006F5A3A"/>
    <w:rsid w:val="006F6BF1"/>
    <w:rsid w:val="006F70DF"/>
    <w:rsid w:val="007004BC"/>
    <w:rsid w:val="007139E1"/>
    <w:rsid w:val="007151B4"/>
    <w:rsid w:val="007159B8"/>
    <w:rsid w:val="00716CF4"/>
    <w:rsid w:val="00720E1B"/>
    <w:rsid w:val="00721F07"/>
    <w:rsid w:val="00724253"/>
    <w:rsid w:val="00724705"/>
    <w:rsid w:val="007247AC"/>
    <w:rsid w:val="0073144E"/>
    <w:rsid w:val="007332FB"/>
    <w:rsid w:val="00734939"/>
    <w:rsid w:val="00734B8C"/>
    <w:rsid w:val="00735A3E"/>
    <w:rsid w:val="00735A84"/>
    <w:rsid w:val="007361E3"/>
    <w:rsid w:val="00736811"/>
    <w:rsid w:val="00736FD3"/>
    <w:rsid w:val="00744678"/>
    <w:rsid w:val="00745110"/>
    <w:rsid w:val="0074591E"/>
    <w:rsid w:val="00746FE2"/>
    <w:rsid w:val="0074707D"/>
    <w:rsid w:val="00752EDE"/>
    <w:rsid w:val="007648AE"/>
    <w:rsid w:val="007657A7"/>
    <w:rsid w:val="007657BC"/>
    <w:rsid w:val="007662BC"/>
    <w:rsid w:val="00767DB7"/>
    <w:rsid w:val="00772B32"/>
    <w:rsid w:val="00773E82"/>
    <w:rsid w:val="00775417"/>
    <w:rsid w:val="0077624F"/>
    <w:rsid w:val="0077759D"/>
    <w:rsid w:val="00781323"/>
    <w:rsid w:val="00781FA0"/>
    <w:rsid w:val="00782F1D"/>
    <w:rsid w:val="00785B97"/>
    <w:rsid w:val="00786603"/>
    <w:rsid w:val="0078660D"/>
    <w:rsid w:val="00790D7F"/>
    <w:rsid w:val="00792A70"/>
    <w:rsid w:val="00792CDA"/>
    <w:rsid w:val="00797061"/>
    <w:rsid w:val="007A34E7"/>
    <w:rsid w:val="007A3E22"/>
    <w:rsid w:val="007B018D"/>
    <w:rsid w:val="007B2203"/>
    <w:rsid w:val="007B2E86"/>
    <w:rsid w:val="007B2F3D"/>
    <w:rsid w:val="007B580E"/>
    <w:rsid w:val="007B6AC4"/>
    <w:rsid w:val="007C0609"/>
    <w:rsid w:val="007C09A3"/>
    <w:rsid w:val="007C191C"/>
    <w:rsid w:val="007C247A"/>
    <w:rsid w:val="007C3B32"/>
    <w:rsid w:val="007D2A4A"/>
    <w:rsid w:val="007D2B58"/>
    <w:rsid w:val="007D7264"/>
    <w:rsid w:val="007D7F88"/>
    <w:rsid w:val="007E18A6"/>
    <w:rsid w:val="007E67E1"/>
    <w:rsid w:val="007E7DC7"/>
    <w:rsid w:val="007F13F2"/>
    <w:rsid w:val="007F42C1"/>
    <w:rsid w:val="007F653E"/>
    <w:rsid w:val="008004E7"/>
    <w:rsid w:val="008028C0"/>
    <w:rsid w:val="008064CF"/>
    <w:rsid w:val="00807897"/>
    <w:rsid w:val="00812F25"/>
    <w:rsid w:val="008139D1"/>
    <w:rsid w:val="00815D16"/>
    <w:rsid w:val="008161B7"/>
    <w:rsid w:val="00822CFC"/>
    <w:rsid w:val="00823110"/>
    <w:rsid w:val="00823AFC"/>
    <w:rsid w:val="008240EB"/>
    <w:rsid w:val="008249A4"/>
    <w:rsid w:val="00827376"/>
    <w:rsid w:val="00830970"/>
    <w:rsid w:val="00833E16"/>
    <w:rsid w:val="00837DA7"/>
    <w:rsid w:val="0084061B"/>
    <w:rsid w:val="00840657"/>
    <w:rsid w:val="0084150F"/>
    <w:rsid w:val="00842977"/>
    <w:rsid w:val="00843AC5"/>
    <w:rsid w:val="00843E49"/>
    <w:rsid w:val="00844A68"/>
    <w:rsid w:val="00845D2C"/>
    <w:rsid w:val="00847530"/>
    <w:rsid w:val="00851BBE"/>
    <w:rsid w:val="00852C14"/>
    <w:rsid w:val="008542F4"/>
    <w:rsid w:val="00855A99"/>
    <w:rsid w:val="00856085"/>
    <w:rsid w:val="00862B6F"/>
    <w:rsid w:val="00865D6F"/>
    <w:rsid w:val="0087025B"/>
    <w:rsid w:val="0087129B"/>
    <w:rsid w:val="008722C9"/>
    <w:rsid w:val="00873548"/>
    <w:rsid w:val="00873DB8"/>
    <w:rsid w:val="00874AF5"/>
    <w:rsid w:val="008764F6"/>
    <w:rsid w:val="00876E86"/>
    <w:rsid w:val="0088075E"/>
    <w:rsid w:val="008870AF"/>
    <w:rsid w:val="008877A5"/>
    <w:rsid w:val="00890C42"/>
    <w:rsid w:val="008919CD"/>
    <w:rsid w:val="00892A4C"/>
    <w:rsid w:val="00893783"/>
    <w:rsid w:val="00893A0F"/>
    <w:rsid w:val="00894C95"/>
    <w:rsid w:val="00896118"/>
    <w:rsid w:val="00897470"/>
    <w:rsid w:val="008A077A"/>
    <w:rsid w:val="008A26AD"/>
    <w:rsid w:val="008A2C83"/>
    <w:rsid w:val="008A2EB2"/>
    <w:rsid w:val="008A3C92"/>
    <w:rsid w:val="008A56DE"/>
    <w:rsid w:val="008A7C24"/>
    <w:rsid w:val="008B1AB1"/>
    <w:rsid w:val="008B1BC2"/>
    <w:rsid w:val="008B28F8"/>
    <w:rsid w:val="008B3EBA"/>
    <w:rsid w:val="008B43EB"/>
    <w:rsid w:val="008B7485"/>
    <w:rsid w:val="008C10A2"/>
    <w:rsid w:val="008C1258"/>
    <w:rsid w:val="008C410D"/>
    <w:rsid w:val="008C4345"/>
    <w:rsid w:val="008C49F3"/>
    <w:rsid w:val="008C515C"/>
    <w:rsid w:val="008D3175"/>
    <w:rsid w:val="008D44D9"/>
    <w:rsid w:val="008D4BA3"/>
    <w:rsid w:val="008D5C86"/>
    <w:rsid w:val="008E0578"/>
    <w:rsid w:val="008E4A07"/>
    <w:rsid w:val="008E7C7C"/>
    <w:rsid w:val="008F391D"/>
    <w:rsid w:val="008F5ADC"/>
    <w:rsid w:val="008F6925"/>
    <w:rsid w:val="008F6BB8"/>
    <w:rsid w:val="00900570"/>
    <w:rsid w:val="0090162B"/>
    <w:rsid w:val="00901FE5"/>
    <w:rsid w:val="00902B03"/>
    <w:rsid w:val="0090339B"/>
    <w:rsid w:val="0090466F"/>
    <w:rsid w:val="00904A8D"/>
    <w:rsid w:val="009075D6"/>
    <w:rsid w:val="0091020F"/>
    <w:rsid w:val="00911106"/>
    <w:rsid w:val="0091595A"/>
    <w:rsid w:val="0092072A"/>
    <w:rsid w:val="00920C5F"/>
    <w:rsid w:val="00924A74"/>
    <w:rsid w:val="00927F31"/>
    <w:rsid w:val="00930DCE"/>
    <w:rsid w:val="00933A9A"/>
    <w:rsid w:val="0094169C"/>
    <w:rsid w:val="00941924"/>
    <w:rsid w:val="00942A64"/>
    <w:rsid w:val="00945749"/>
    <w:rsid w:val="00946259"/>
    <w:rsid w:val="0094675B"/>
    <w:rsid w:val="00952FAB"/>
    <w:rsid w:val="0095376C"/>
    <w:rsid w:val="009543FC"/>
    <w:rsid w:val="009578F7"/>
    <w:rsid w:val="00960513"/>
    <w:rsid w:val="00963234"/>
    <w:rsid w:val="00970355"/>
    <w:rsid w:val="009719AC"/>
    <w:rsid w:val="00973C33"/>
    <w:rsid w:val="00974BB9"/>
    <w:rsid w:val="00980B39"/>
    <w:rsid w:val="00985639"/>
    <w:rsid w:val="0099087B"/>
    <w:rsid w:val="00992560"/>
    <w:rsid w:val="0099432B"/>
    <w:rsid w:val="00996F1A"/>
    <w:rsid w:val="009975E7"/>
    <w:rsid w:val="00997EEC"/>
    <w:rsid w:val="009A2FBF"/>
    <w:rsid w:val="009A3F7C"/>
    <w:rsid w:val="009B2CDF"/>
    <w:rsid w:val="009B2EA2"/>
    <w:rsid w:val="009B3EB8"/>
    <w:rsid w:val="009B49EB"/>
    <w:rsid w:val="009B4C6A"/>
    <w:rsid w:val="009B536D"/>
    <w:rsid w:val="009B5B51"/>
    <w:rsid w:val="009B6ADE"/>
    <w:rsid w:val="009C060B"/>
    <w:rsid w:val="009C1BF6"/>
    <w:rsid w:val="009C3310"/>
    <w:rsid w:val="009C369D"/>
    <w:rsid w:val="009C3790"/>
    <w:rsid w:val="009C3CE7"/>
    <w:rsid w:val="009C5B60"/>
    <w:rsid w:val="009C687E"/>
    <w:rsid w:val="009D17B5"/>
    <w:rsid w:val="009D2B65"/>
    <w:rsid w:val="009D3839"/>
    <w:rsid w:val="009D527B"/>
    <w:rsid w:val="009D5297"/>
    <w:rsid w:val="009D560C"/>
    <w:rsid w:val="009D626D"/>
    <w:rsid w:val="009D63F5"/>
    <w:rsid w:val="009D6525"/>
    <w:rsid w:val="009D66C8"/>
    <w:rsid w:val="009E160C"/>
    <w:rsid w:val="009E46CA"/>
    <w:rsid w:val="009E74A4"/>
    <w:rsid w:val="009E7CB1"/>
    <w:rsid w:val="009E7FAE"/>
    <w:rsid w:val="009F2CB8"/>
    <w:rsid w:val="009F46B9"/>
    <w:rsid w:val="009F4FF9"/>
    <w:rsid w:val="009F5FE6"/>
    <w:rsid w:val="00A01212"/>
    <w:rsid w:val="00A0290C"/>
    <w:rsid w:val="00A0291D"/>
    <w:rsid w:val="00A06116"/>
    <w:rsid w:val="00A06DE6"/>
    <w:rsid w:val="00A12870"/>
    <w:rsid w:val="00A12DEF"/>
    <w:rsid w:val="00A13BAE"/>
    <w:rsid w:val="00A144C9"/>
    <w:rsid w:val="00A219FF"/>
    <w:rsid w:val="00A225FA"/>
    <w:rsid w:val="00A231DA"/>
    <w:rsid w:val="00A23629"/>
    <w:rsid w:val="00A23D25"/>
    <w:rsid w:val="00A24B40"/>
    <w:rsid w:val="00A24FAE"/>
    <w:rsid w:val="00A25AA1"/>
    <w:rsid w:val="00A25F95"/>
    <w:rsid w:val="00A26972"/>
    <w:rsid w:val="00A26B18"/>
    <w:rsid w:val="00A30167"/>
    <w:rsid w:val="00A34BF9"/>
    <w:rsid w:val="00A365BA"/>
    <w:rsid w:val="00A36F4B"/>
    <w:rsid w:val="00A3752B"/>
    <w:rsid w:val="00A41202"/>
    <w:rsid w:val="00A416E5"/>
    <w:rsid w:val="00A41753"/>
    <w:rsid w:val="00A44B0A"/>
    <w:rsid w:val="00A47659"/>
    <w:rsid w:val="00A504D0"/>
    <w:rsid w:val="00A5442E"/>
    <w:rsid w:val="00A57233"/>
    <w:rsid w:val="00A605E4"/>
    <w:rsid w:val="00A60BBA"/>
    <w:rsid w:val="00A60EE4"/>
    <w:rsid w:val="00A6272E"/>
    <w:rsid w:val="00A632B6"/>
    <w:rsid w:val="00A64EBF"/>
    <w:rsid w:val="00A650DC"/>
    <w:rsid w:val="00A6615D"/>
    <w:rsid w:val="00A706E3"/>
    <w:rsid w:val="00A72897"/>
    <w:rsid w:val="00A7369F"/>
    <w:rsid w:val="00A73B46"/>
    <w:rsid w:val="00A75DF1"/>
    <w:rsid w:val="00A75E71"/>
    <w:rsid w:val="00A77C0C"/>
    <w:rsid w:val="00A833FD"/>
    <w:rsid w:val="00A837A1"/>
    <w:rsid w:val="00A84E30"/>
    <w:rsid w:val="00A905CA"/>
    <w:rsid w:val="00A907A2"/>
    <w:rsid w:val="00A90972"/>
    <w:rsid w:val="00A92973"/>
    <w:rsid w:val="00A934DF"/>
    <w:rsid w:val="00A9413F"/>
    <w:rsid w:val="00A975BA"/>
    <w:rsid w:val="00AA0ED2"/>
    <w:rsid w:val="00AA1750"/>
    <w:rsid w:val="00AA24F9"/>
    <w:rsid w:val="00AA589A"/>
    <w:rsid w:val="00AA6273"/>
    <w:rsid w:val="00AA6EA0"/>
    <w:rsid w:val="00AA7CA7"/>
    <w:rsid w:val="00AA7D12"/>
    <w:rsid w:val="00AB4141"/>
    <w:rsid w:val="00AB4BFA"/>
    <w:rsid w:val="00AB6761"/>
    <w:rsid w:val="00AC3116"/>
    <w:rsid w:val="00AC354A"/>
    <w:rsid w:val="00AC6DE7"/>
    <w:rsid w:val="00AC7079"/>
    <w:rsid w:val="00AC7C0C"/>
    <w:rsid w:val="00AD0BDA"/>
    <w:rsid w:val="00AD62AF"/>
    <w:rsid w:val="00AD74D8"/>
    <w:rsid w:val="00AE1272"/>
    <w:rsid w:val="00AE1732"/>
    <w:rsid w:val="00AE2ADE"/>
    <w:rsid w:val="00AE475F"/>
    <w:rsid w:val="00AE6172"/>
    <w:rsid w:val="00AE66FE"/>
    <w:rsid w:val="00AE7850"/>
    <w:rsid w:val="00AF1FD8"/>
    <w:rsid w:val="00B00C2C"/>
    <w:rsid w:val="00B01583"/>
    <w:rsid w:val="00B02EF6"/>
    <w:rsid w:val="00B04DDF"/>
    <w:rsid w:val="00B06B19"/>
    <w:rsid w:val="00B06F5B"/>
    <w:rsid w:val="00B13CEE"/>
    <w:rsid w:val="00B151FE"/>
    <w:rsid w:val="00B166E1"/>
    <w:rsid w:val="00B168C0"/>
    <w:rsid w:val="00B176B0"/>
    <w:rsid w:val="00B225B3"/>
    <w:rsid w:val="00B25242"/>
    <w:rsid w:val="00B2629F"/>
    <w:rsid w:val="00B32B7C"/>
    <w:rsid w:val="00B34C7C"/>
    <w:rsid w:val="00B3564D"/>
    <w:rsid w:val="00B36C28"/>
    <w:rsid w:val="00B40730"/>
    <w:rsid w:val="00B41D64"/>
    <w:rsid w:val="00B41E73"/>
    <w:rsid w:val="00B46437"/>
    <w:rsid w:val="00B46D9D"/>
    <w:rsid w:val="00B47643"/>
    <w:rsid w:val="00B51556"/>
    <w:rsid w:val="00B52CBB"/>
    <w:rsid w:val="00B56C5A"/>
    <w:rsid w:val="00B571DA"/>
    <w:rsid w:val="00B62DFA"/>
    <w:rsid w:val="00B63F8A"/>
    <w:rsid w:val="00B82A00"/>
    <w:rsid w:val="00B8345F"/>
    <w:rsid w:val="00B85078"/>
    <w:rsid w:val="00B8626C"/>
    <w:rsid w:val="00B862B0"/>
    <w:rsid w:val="00B86D1F"/>
    <w:rsid w:val="00B90FC9"/>
    <w:rsid w:val="00B9265E"/>
    <w:rsid w:val="00B92E48"/>
    <w:rsid w:val="00B92ED6"/>
    <w:rsid w:val="00B952BF"/>
    <w:rsid w:val="00B959A8"/>
    <w:rsid w:val="00BA0301"/>
    <w:rsid w:val="00BA1DF6"/>
    <w:rsid w:val="00BA5151"/>
    <w:rsid w:val="00BA5CAA"/>
    <w:rsid w:val="00BA690D"/>
    <w:rsid w:val="00BA7A62"/>
    <w:rsid w:val="00BA7F5F"/>
    <w:rsid w:val="00BB006E"/>
    <w:rsid w:val="00BB0635"/>
    <w:rsid w:val="00BB1431"/>
    <w:rsid w:val="00BB1B64"/>
    <w:rsid w:val="00BB2860"/>
    <w:rsid w:val="00BB4918"/>
    <w:rsid w:val="00BC2A51"/>
    <w:rsid w:val="00BC574F"/>
    <w:rsid w:val="00BC5D12"/>
    <w:rsid w:val="00BC6B0D"/>
    <w:rsid w:val="00BC72F1"/>
    <w:rsid w:val="00BC7D94"/>
    <w:rsid w:val="00BD039E"/>
    <w:rsid w:val="00BD10FD"/>
    <w:rsid w:val="00BD2328"/>
    <w:rsid w:val="00BD2B9E"/>
    <w:rsid w:val="00BD3873"/>
    <w:rsid w:val="00BD4E51"/>
    <w:rsid w:val="00BD5865"/>
    <w:rsid w:val="00BD6437"/>
    <w:rsid w:val="00BE0AB5"/>
    <w:rsid w:val="00BE1DA6"/>
    <w:rsid w:val="00BE2296"/>
    <w:rsid w:val="00BE5714"/>
    <w:rsid w:val="00BF0F99"/>
    <w:rsid w:val="00BF2C20"/>
    <w:rsid w:val="00BF4965"/>
    <w:rsid w:val="00BF5339"/>
    <w:rsid w:val="00BF5BBF"/>
    <w:rsid w:val="00BF6604"/>
    <w:rsid w:val="00C02072"/>
    <w:rsid w:val="00C02F1E"/>
    <w:rsid w:val="00C137CB"/>
    <w:rsid w:val="00C23C8F"/>
    <w:rsid w:val="00C23ECA"/>
    <w:rsid w:val="00C26836"/>
    <w:rsid w:val="00C272D2"/>
    <w:rsid w:val="00C314D5"/>
    <w:rsid w:val="00C34B8C"/>
    <w:rsid w:val="00C36422"/>
    <w:rsid w:val="00C444D5"/>
    <w:rsid w:val="00C4634B"/>
    <w:rsid w:val="00C501A4"/>
    <w:rsid w:val="00C539B4"/>
    <w:rsid w:val="00C6568B"/>
    <w:rsid w:val="00C66E07"/>
    <w:rsid w:val="00C7415A"/>
    <w:rsid w:val="00C8083F"/>
    <w:rsid w:val="00C8545F"/>
    <w:rsid w:val="00C86427"/>
    <w:rsid w:val="00C86622"/>
    <w:rsid w:val="00C86CBD"/>
    <w:rsid w:val="00C87078"/>
    <w:rsid w:val="00C871AB"/>
    <w:rsid w:val="00C9013B"/>
    <w:rsid w:val="00C90564"/>
    <w:rsid w:val="00C92EB3"/>
    <w:rsid w:val="00C95BFD"/>
    <w:rsid w:val="00CA11E3"/>
    <w:rsid w:val="00CA395E"/>
    <w:rsid w:val="00CA3C40"/>
    <w:rsid w:val="00CA4555"/>
    <w:rsid w:val="00CA460F"/>
    <w:rsid w:val="00CB0521"/>
    <w:rsid w:val="00CB095C"/>
    <w:rsid w:val="00CB36EF"/>
    <w:rsid w:val="00CB3DFC"/>
    <w:rsid w:val="00CB7124"/>
    <w:rsid w:val="00CC1FD2"/>
    <w:rsid w:val="00CC3538"/>
    <w:rsid w:val="00CC3C47"/>
    <w:rsid w:val="00CC4477"/>
    <w:rsid w:val="00CC5EAD"/>
    <w:rsid w:val="00CC6A01"/>
    <w:rsid w:val="00CC7F1E"/>
    <w:rsid w:val="00CD19E7"/>
    <w:rsid w:val="00CD226C"/>
    <w:rsid w:val="00CD56ED"/>
    <w:rsid w:val="00CE1C23"/>
    <w:rsid w:val="00CE414A"/>
    <w:rsid w:val="00CE4771"/>
    <w:rsid w:val="00CE5887"/>
    <w:rsid w:val="00CE6F7E"/>
    <w:rsid w:val="00CE73CA"/>
    <w:rsid w:val="00CE7C8B"/>
    <w:rsid w:val="00CF06DF"/>
    <w:rsid w:val="00CF218E"/>
    <w:rsid w:val="00CF21A3"/>
    <w:rsid w:val="00CF265D"/>
    <w:rsid w:val="00CF272F"/>
    <w:rsid w:val="00CF3EFE"/>
    <w:rsid w:val="00CF64AD"/>
    <w:rsid w:val="00CF7B22"/>
    <w:rsid w:val="00D03637"/>
    <w:rsid w:val="00D0555B"/>
    <w:rsid w:val="00D06521"/>
    <w:rsid w:val="00D071D1"/>
    <w:rsid w:val="00D079AF"/>
    <w:rsid w:val="00D07EB6"/>
    <w:rsid w:val="00D1127D"/>
    <w:rsid w:val="00D11CF1"/>
    <w:rsid w:val="00D123E4"/>
    <w:rsid w:val="00D1297D"/>
    <w:rsid w:val="00D20AC0"/>
    <w:rsid w:val="00D21049"/>
    <w:rsid w:val="00D21DA1"/>
    <w:rsid w:val="00D26E16"/>
    <w:rsid w:val="00D2748D"/>
    <w:rsid w:val="00D27F35"/>
    <w:rsid w:val="00D3117B"/>
    <w:rsid w:val="00D31AAD"/>
    <w:rsid w:val="00D327B6"/>
    <w:rsid w:val="00D32ED4"/>
    <w:rsid w:val="00D34E9F"/>
    <w:rsid w:val="00D364BB"/>
    <w:rsid w:val="00D37EDB"/>
    <w:rsid w:val="00D44A5F"/>
    <w:rsid w:val="00D44E32"/>
    <w:rsid w:val="00D46754"/>
    <w:rsid w:val="00D504E3"/>
    <w:rsid w:val="00D513DD"/>
    <w:rsid w:val="00D56828"/>
    <w:rsid w:val="00D574FA"/>
    <w:rsid w:val="00D672B3"/>
    <w:rsid w:val="00D72195"/>
    <w:rsid w:val="00D734B0"/>
    <w:rsid w:val="00D77C20"/>
    <w:rsid w:val="00D807D3"/>
    <w:rsid w:val="00D80EA9"/>
    <w:rsid w:val="00D81D6F"/>
    <w:rsid w:val="00D82580"/>
    <w:rsid w:val="00D84874"/>
    <w:rsid w:val="00D933CE"/>
    <w:rsid w:val="00D94467"/>
    <w:rsid w:val="00D96A3A"/>
    <w:rsid w:val="00D96E56"/>
    <w:rsid w:val="00DA02CD"/>
    <w:rsid w:val="00DA199B"/>
    <w:rsid w:val="00DA1E85"/>
    <w:rsid w:val="00DA1F3B"/>
    <w:rsid w:val="00DA280F"/>
    <w:rsid w:val="00DA30A9"/>
    <w:rsid w:val="00DA403A"/>
    <w:rsid w:val="00DA5779"/>
    <w:rsid w:val="00DB00E4"/>
    <w:rsid w:val="00DB03E8"/>
    <w:rsid w:val="00DB17E4"/>
    <w:rsid w:val="00DB32DE"/>
    <w:rsid w:val="00DB3BFE"/>
    <w:rsid w:val="00DB4AE3"/>
    <w:rsid w:val="00DB5488"/>
    <w:rsid w:val="00DB5E20"/>
    <w:rsid w:val="00DD01B5"/>
    <w:rsid w:val="00DD0677"/>
    <w:rsid w:val="00DD2FA7"/>
    <w:rsid w:val="00DD3F5D"/>
    <w:rsid w:val="00DD4024"/>
    <w:rsid w:val="00DD41C9"/>
    <w:rsid w:val="00DE0562"/>
    <w:rsid w:val="00DE12F0"/>
    <w:rsid w:val="00DE1983"/>
    <w:rsid w:val="00DE19B4"/>
    <w:rsid w:val="00DE49D7"/>
    <w:rsid w:val="00DE5682"/>
    <w:rsid w:val="00DF26E2"/>
    <w:rsid w:val="00DF275B"/>
    <w:rsid w:val="00DF3D38"/>
    <w:rsid w:val="00DF5C6A"/>
    <w:rsid w:val="00DF68AE"/>
    <w:rsid w:val="00DF73A4"/>
    <w:rsid w:val="00DF7876"/>
    <w:rsid w:val="00DF789D"/>
    <w:rsid w:val="00E018A9"/>
    <w:rsid w:val="00E044BA"/>
    <w:rsid w:val="00E04DA2"/>
    <w:rsid w:val="00E05F05"/>
    <w:rsid w:val="00E05F14"/>
    <w:rsid w:val="00E072D4"/>
    <w:rsid w:val="00E07A84"/>
    <w:rsid w:val="00E07A95"/>
    <w:rsid w:val="00E15051"/>
    <w:rsid w:val="00E154C7"/>
    <w:rsid w:val="00E227A1"/>
    <w:rsid w:val="00E2364A"/>
    <w:rsid w:val="00E23B18"/>
    <w:rsid w:val="00E27DC9"/>
    <w:rsid w:val="00E31198"/>
    <w:rsid w:val="00E3186C"/>
    <w:rsid w:val="00E31BF1"/>
    <w:rsid w:val="00E340D2"/>
    <w:rsid w:val="00E35011"/>
    <w:rsid w:val="00E3562E"/>
    <w:rsid w:val="00E43F91"/>
    <w:rsid w:val="00E44340"/>
    <w:rsid w:val="00E46471"/>
    <w:rsid w:val="00E54A0E"/>
    <w:rsid w:val="00E54A4A"/>
    <w:rsid w:val="00E55826"/>
    <w:rsid w:val="00E55918"/>
    <w:rsid w:val="00E55F52"/>
    <w:rsid w:val="00E56888"/>
    <w:rsid w:val="00E568D3"/>
    <w:rsid w:val="00E6007B"/>
    <w:rsid w:val="00E614C4"/>
    <w:rsid w:val="00E62227"/>
    <w:rsid w:val="00E62C6C"/>
    <w:rsid w:val="00E635E6"/>
    <w:rsid w:val="00E644A4"/>
    <w:rsid w:val="00E67047"/>
    <w:rsid w:val="00E71736"/>
    <w:rsid w:val="00E75B8F"/>
    <w:rsid w:val="00E7605F"/>
    <w:rsid w:val="00E76589"/>
    <w:rsid w:val="00E77368"/>
    <w:rsid w:val="00E815C1"/>
    <w:rsid w:val="00E8237D"/>
    <w:rsid w:val="00E863F7"/>
    <w:rsid w:val="00E87ACF"/>
    <w:rsid w:val="00E87BAA"/>
    <w:rsid w:val="00E87F0D"/>
    <w:rsid w:val="00E901E7"/>
    <w:rsid w:val="00E92F96"/>
    <w:rsid w:val="00E952F6"/>
    <w:rsid w:val="00E958A6"/>
    <w:rsid w:val="00E96EC1"/>
    <w:rsid w:val="00E976AD"/>
    <w:rsid w:val="00E97EA5"/>
    <w:rsid w:val="00EA39A8"/>
    <w:rsid w:val="00EA4E49"/>
    <w:rsid w:val="00EB178D"/>
    <w:rsid w:val="00EB3019"/>
    <w:rsid w:val="00EB3E41"/>
    <w:rsid w:val="00EB4A02"/>
    <w:rsid w:val="00EB4FF8"/>
    <w:rsid w:val="00EB5A06"/>
    <w:rsid w:val="00EB5EEB"/>
    <w:rsid w:val="00EB755E"/>
    <w:rsid w:val="00EC0865"/>
    <w:rsid w:val="00EC179F"/>
    <w:rsid w:val="00EC2DB9"/>
    <w:rsid w:val="00EC61EF"/>
    <w:rsid w:val="00EC7358"/>
    <w:rsid w:val="00EC75FC"/>
    <w:rsid w:val="00ED4902"/>
    <w:rsid w:val="00ED5FDC"/>
    <w:rsid w:val="00EE12EC"/>
    <w:rsid w:val="00EE239D"/>
    <w:rsid w:val="00EE45A9"/>
    <w:rsid w:val="00EE5AD7"/>
    <w:rsid w:val="00EE63CD"/>
    <w:rsid w:val="00EF4088"/>
    <w:rsid w:val="00EF5E32"/>
    <w:rsid w:val="00EF6237"/>
    <w:rsid w:val="00EF6FA9"/>
    <w:rsid w:val="00F016CA"/>
    <w:rsid w:val="00F01A7F"/>
    <w:rsid w:val="00F0373F"/>
    <w:rsid w:val="00F07559"/>
    <w:rsid w:val="00F114F1"/>
    <w:rsid w:val="00F12ABA"/>
    <w:rsid w:val="00F1535A"/>
    <w:rsid w:val="00F2281C"/>
    <w:rsid w:val="00F24AE1"/>
    <w:rsid w:val="00F24EB1"/>
    <w:rsid w:val="00F25003"/>
    <w:rsid w:val="00F26649"/>
    <w:rsid w:val="00F27597"/>
    <w:rsid w:val="00F310AC"/>
    <w:rsid w:val="00F40BD4"/>
    <w:rsid w:val="00F4117C"/>
    <w:rsid w:val="00F4301A"/>
    <w:rsid w:val="00F45887"/>
    <w:rsid w:val="00F469DA"/>
    <w:rsid w:val="00F512AC"/>
    <w:rsid w:val="00F52B61"/>
    <w:rsid w:val="00F52C39"/>
    <w:rsid w:val="00F56095"/>
    <w:rsid w:val="00F61A88"/>
    <w:rsid w:val="00F65575"/>
    <w:rsid w:val="00F67F32"/>
    <w:rsid w:val="00F722C1"/>
    <w:rsid w:val="00F722D4"/>
    <w:rsid w:val="00F72FCE"/>
    <w:rsid w:val="00F73079"/>
    <w:rsid w:val="00F74ED7"/>
    <w:rsid w:val="00F77697"/>
    <w:rsid w:val="00F77FE9"/>
    <w:rsid w:val="00F80750"/>
    <w:rsid w:val="00F81818"/>
    <w:rsid w:val="00F858F3"/>
    <w:rsid w:val="00F879BC"/>
    <w:rsid w:val="00F90D93"/>
    <w:rsid w:val="00F9105F"/>
    <w:rsid w:val="00F970E3"/>
    <w:rsid w:val="00FA46C8"/>
    <w:rsid w:val="00FA64AC"/>
    <w:rsid w:val="00FB451B"/>
    <w:rsid w:val="00FB4FD5"/>
    <w:rsid w:val="00FB5939"/>
    <w:rsid w:val="00FB610D"/>
    <w:rsid w:val="00FC1D20"/>
    <w:rsid w:val="00FC754A"/>
    <w:rsid w:val="00FD0501"/>
    <w:rsid w:val="00FD0579"/>
    <w:rsid w:val="00FD0B8A"/>
    <w:rsid w:val="00FD0F82"/>
    <w:rsid w:val="00FD33DB"/>
    <w:rsid w:val="00FD4E0F"/>
    <w:rsid w:val="00FE09B5"/>
    <w:rsid w:val="00FE1CC1"/>
    <w:rsid w:val="00FE3D1A"/>
    <w:rsid w:val="00FE5CC9"/>
    <w:rsid w:val="00FE64E3"/>
    <w:rsid w:val="00FE6B26"/>
    <w:rsid w:val="00FE6D9B"/>
    <w:rsid w:val="00FF0D9A"/>
    <w:rsid w:val="00FF164E"/>
    <w:rsid w:val="00FF1B1C"/>
    <w:rsid w:val="00FF32FA"/>
    <w:rsid w:val="00FF3319"/>
    <w:rsid w:val="00FF3EA4"/>
    <w:rsid w:val="00FF3EC7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06A3ED48"/>
  <w15:docId w15:val="{4CE2BB21-0D92-4089-85E7-05B1FAE9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0301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B67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outlineLvl w:val="6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rFonts w:ascii="Arial" w:hAnsi="Arial"/>
      <w:b/>
      <w:bCs/>
      <w:szCs w:val="20"/>
    </w:rPr>
  </w:style>
  <w:style w:type="paragraph" w:styleId="BodyTextIndent3">
    <w:name w:val="Body Text Indent 3"/>
    <w:basedOn w:val="Normal"/>
    <w:link w:val="BodyTextIndent3Char"/>
    <w:pPr>
      <w:ind w:left="720"/>
    </w:pPr>
    <w:rPr>
      <w:rFonts w:ascii="Arial" w:hAnsi="Arial" w:cs="Arial"/>
      <w:sz w:val="22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Cs w:val="20"/>
    </w:rPr>
  </w:style>
  <w:style w:type="paragraph" w:styleId="BodyText">
    <w:name w:val="Body Text"/>
    <w:basedOn w:val="Normal"/>
    <w:rsid w:val="00A26B18"/>
    <w:pPr>
      <w:spacing w:after="120"/>
    </w:pPr>
  </w:style>
  <w:style w:type="paragraph" w:styleId="Footer">
    <w:name w:val="footer"/>
    <w:basedOn w:val="Normal"/>
    <w:link w:val="FooterChar"/>
    <w:rsid w:val="00C2683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26836"/>
  </w:style>
  <w:style w:type="table" w:styleId="TableGrid">
    <w:name w:val="Table Grid"/>
    <w:basedOn w:val="TableNormal"/>
    <w:rsid w:val="00BE5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CB0"/>
    <w:pPr>
      <w:ind w:left="720"/>
    </w:pPr>
  </w:style>
  <w:style w:type="paragraph" w:styleId="BalloonText">
    <w:name w:val="Balloon Text"/>
    <w:basedOn w:val="Normal"/>
    <w:link w:val="BalloonTextChar"/>
    <w:rsid w:val="00DB3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2DE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5117EA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BA0301"/>
    <w:rPr>
      <w:rFonts w:ascii="Arial" w:hAnsi="Arial"/>
      <w:sz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724705"/>
    <w:rPr>
      <w:rFonts w:ascii="Arial" w:hAnsi="Arial" w:cs="Arial"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7247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24705"/>
    <w:rPr>
      <w:sz w:val="24"/>
      <w:szCs w:val="24"/>
      <w:lang w:eastAsia="en-US"/>
    </w:rPr>
  </w:style>
  <w:style w:type="paragraph" w:customStyle="1" w:styleId="Default">
    <w:name w:val="Default"/>
    <w:rsid w:val="00A029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157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5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57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5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57EC"/>
    <w:rPr>
      <w:b/>
      <w:bCs/>
      <w:lang w:eastAsia="en-US"/>
    </w:rPr>
  </w:style>
  <w:style w:type="table" w:customStyle="1" w:styleId="TableGrid2">
    <w:name w:val="Table Grid2"/>
    <w:basedOn w:val="TableNormal"/>
    <w:uiPriority w:val="39"/>
    <w:rsid w:val="005143A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AB676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B6761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45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tricia.Harvey@merton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yne.Ward@Merton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ert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64E97D246D7419C0276B3F518C88E" ma:contentTypeVersion="11" ma:contentTypeDescription="Create a new document." ma:contentTypeScope="" ma:versionID="36f2050777cdab3b118418df01954ca7">
  <xsd:schema xmlns:xsd="http://www.w3.org/2001/XMLSchema" xmlns:xs="http://www.w3.org/2001/XMLSchema" xmlns:p="http://schemas.microsoft.com/office/2006/metadata/properties" xmlns:ns2="4e777579-918c-437a-a58a-1b9d1658c7f8" xmlns:ns3="f5538bc3-582d-42a2-af1a-3871e1a84c51" targetNamespace="http://schemas.microsoft.com/office/2006/metadata/properties" ma:root="true" ma:fieldsID="dc211f832117aeae57be9d74ccf42f35" ns2:_="" ns3:_="">
    <xsd:import namespace="4e777579-918c-437a-a58a-1b9d1658c7f8"/>
    <xsd:import namespace="f5538bc3-582d-42a2-af1a-3871e1a84c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77579-918c-437a-a58a-1b9d1658c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38bc3-582d-42a2-af1a-3871e1a84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97A82B-E937-470B-997C-F00E63A0CB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589AB4-5C0C-4FD8-A74D-77D85C6681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456644-0CB1-44C2-A903-621CB4663405}"/>
</file>

<file path=customXml/itemProps4.xml><?xml version="1.0" encoding="utf-8"?>
<ds:datastoreItem xmlns:ds="http://schemas.openxmlformats.org/officeDocument/2006/customXml" ds:itemID="{9CD8A729-F1EF-4B97-882C-1AA8A83BCF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Forum    October 16 2006</vt:lpstr>
    </vt:vector>
  </TitlesOfParts>
  <Company>LBM</Company>
  <LinksUpToDate>false</LinksUpToDate>
  <CharactersWithSpaces>9153</CharactersWithSpaces>
  <SharedDoc>false</SharedDoc>
  <HLinks>
    <vt:vector size="12" baseType="variant">
      <vt:variant>
        <vt:i4>6225995</vt:i4>
      </vt:variant>
      <vt:variant>
        <vt:i4>3</vt:i4>
      </vt:variant>
      <vt:variant>
        <vt:i4>0</vt:i4>
      </vt:variant>
      <vt:variant>
        <vt:i4>5</vt:i4>
      </vt:variant>
      <vt:variant>
        <vt:lpwstr>http://www.merton.gov.uk/</vt:lpwstr>
      </vt:variant>
      <vt:variant>
        <vt:lpwstr/>
      </vt:variant>
      <vt:variant>
        <vt:i4>5439590</vt:i4>
      </vt:variant>
      <vt:variant>
        <vt:i4>0</vt:i4>
      </vt:variant>
      <vt:variant>
        <vt:i4>0</vt:i4>
      </vt:variant>
      <vt:variant>
        <vt:i4>5</vt:i4>
      </vt:variant>
      <vt:variant>
        <vt:lpwstr>mailto:Zoe.Church@merton.gov.uk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Forum    October 16 2006</dc:title>
  <dc:subject/>
  <dc:creator>Zoe Church</dc:creator>
  <cp:keywords/>
  <dc:description/>
  <cp:lastModifiedBy>Patricia Harvey</cp:lastModifiedBy>
  <cp:revision>3</cp:revision>
  <cp:lastPrinted>2020-01-28T11:44:00Z</cp:lastPrinted>
  <dcterms:created xsi:type="dcterms:W3CDTF">2022-03-17T11:52:00Z</dcterms:created>
  <dcterms:modified xsi:type="dcterms:W3CDTF">2022-03-17T11:53:00Z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0x010100F5864E97D246D7419C0276B3F518C88E</vt:lpwstr>
  </property>
  <property fmtid="{D5CDD505-2E9C-101B-9397-08002B2CF9AE}" pid="3" name="Order">
    <vt:r8>885900</vt:r8>
  </property>
</Properties>
</file>