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4E72D1" w:rsidP="00220FD9">
            <w:pPr>
              <w:pStyle w:val="Header"/>
              <w:tabs>
                <w:tab w:val="clear" w:pos="4153"/>
                <w:tab w:val="clear" w:pos="8306"/>
              </w:tabs>
              <w:spacing w:after="120"/>
              <w:rPr>
                <w:b/>
              </w:rPr>
            </w:pPr>
            <w:r>
              <w:rPr>
                <w:b/>
                <w:sz w:val="32"/>
              </w:rPr>
              <w:t xml:space="preserve">Schools Forum    </w:t>
            </w:r>
            <w:r w:rsidR="00420495">
              <w:rPr>
                <w:b/>
                <w:sz w:val="32"/>
              </w:rPr>
              <w:t>3</w:t>
            </w:r>
            <w:r w:rsidR="00220FD9">
              <w:rPr>
                <w:b/>
                <w:sz w:val="32"/>
              </w:rPr>
              <w:t>1</w:t>
            </w:r>
            <w:r w:rsidR="00220FD9" w:rsidRPr="00220FD9">
              <w:rPr>
                <w:b/>
                <w:sz w:val="32"/>
                <w:vertAlign w:val="superscript"/>
              </w:rPr>
              <w:t>st</w:t>
            </w:r>
            <w:r w:rsidR="00220FD9">
              <w:rPr>
                <w:b/>
                <w:sz w:val="32"/>
              </w:rPr>
              <w:t xml:space="preserve"> Jan</w:t>
            </w:r>
            <w:r w:rsidR="00DB5E20">
              <w:rPr>
                <w:b/>
                <w:sz w:val="32"/>
              </w:rPr>
              <w:t>uary</w:t>
            </w:r>
            <w:r w:rsidR="00904A8D">
              <w:rPr>
                <w:b/>
                <w:sz w:val="32"/>
              </w:rPr>
              <w:t xml:space="preserve"> 201</w:t>
            </w:r>
            <w:r w:rsidR="00C025BC">
              <w:rPr>
                <w:b/>
                <w:sz w:val="32"/>
              </w:rPr>
              <w:t>7</w:t>
            </w:r>
          </w:p>
        </w:tc>
        <w:tc>
          <w:tcPr>
            <w:tcW w:w="2946" w:type="dxa"/>
          </w:tcPr>
          <w:p w:rsidR="00904A8D" w:rsidRDefault="00904A8D" w:rsidP="004E72D1">
            <w:pPr>
              <w:pStyle w:val="Header"/>
              <w:tabs>
                <w:tab w:val="clear" w:pos="4153"/>
                <w:tab w:val="clear" w:pos="8306"/>
              </w:tabs>
              <w:spacing w:before="120"/>
              <w:rPr>
                <w:sz w:val="40"/>
                <w:szCs w:val="40"/>
              </w:rPr>
            </w:pPr>
            <w:r>
              <w:t xml:space="preserve">Item </w:t>
            </w:r>
            <w:r w:rsidR="00DB5E20">
              <w:rPr>
                <w:sz w:val="40"/>
                <w:szCs w:val="40"/>
              </w:rPr>
              <w:t xml:space="preserve">   </w:t>
            </w:r>
          </w:p>
          <w:p w:rsidR="004E72D1" w:rsidRDefault="00EE79BE" w:rsidP="004E72D1">
            <w:pPr>
              <w:pStyle w:val="Header"/>
              <w:tabs>
                <w:tab w:val="clear" w:pos="4153"/>
                <w:tab w:val="clear" w:pos="8306"/>
              </w:tabs>
              <w:spacing w:before="120"/>
              <w:jc w:val="center"/>
              <w:rPr>
                <w:sz w:val="40"/>
                <w:szCs w:val="40"/>
              </w:rPr>
            </w:pPr>
            <w:r>
              <w:rPr>
                <w:sz w:val="40"/>
                <w:szCs w:val="40"/>
              </w:rPr>
              <w:t>8</w:t>
            </w:r>
            <w:bookmarkStart w:id="0" w:name="_GoBack"/>
            <w:bookmarkEnd w:id="0"/>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 xml:space="preserve">SUBJECT:  </w:t>
      </w:r>
      <w:r w:rsidR="00676594">
        <w:rPr>
          <w:b/>
        </w:rPr>
        <w:t>High Needs Block A</w:t>
      </w:r>
      <w:r w:rsidR="005B20E2">
        <w:rPr>
          <w:b/>
        </w:rPr>
        <w:t xml:space="preserve">llocations </w:t>
      </w:r>
      <w:r w:rsidR="00420495">
        <w:rPr>
          <w:b/>
        </w:rPr>
        <w:t>201</w:t>
      </w:r>
      <w:r w:rsidR="00C025BC">
        <w:rPr>
          <w:b/>
        </w:rPr>
        <w:t>7</w:t>
      </w:r>
      <w:r w:rsidR="00904A8D">
        <w:rPr>
          <w:b/>
        </w:rPr>
        <w:t>/1</w:t>
      </w:r>
      <w:r w:rsidR="00C025BC">
        <w:rPr>
          <w:b/>
        </w:rPr>
        <w:t>8</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7F405E">
        <w:rPr>
          <w:b/>
        </w:rPr>
        <w:t>-Strydom</w:t>
      </w:r>
      <w:r>
        <w:rPr>
          <w:bCs/>
        </w:rPr>
        <w:t>,</w:t>
      </w:r>
      <w:r>
        <w:t xml:space="preserve"> Children, Schools and Families Finance</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DB5E20" w:rsidP="00DB5E20">
      <w:pPr>
        <w:pStyle w:val="Header"/>
        <w:tabs>
          <w:tab w:val="clear" w:pos="4153"/>
          <w:tab w:val="clear" w:pos="8306"/>
        </w:tabs>
        <w:rPr>
          <w:b/>
        </w:rPr>
      </w:pPr>
    </w:p>
    <w:p w:rsidR="00DB5E20" w:rsidRDefault="00E43E8E" w:rsidP="00DB5E20">
      <w:pPr>
        <w:pStyle w:val="Header"/>
        <w:numPr>
          <w:ilvl w:val="0"/>
          <w:numId w:val="4"/>
        </w:numPr>
        <w:tabs>
          <w:tab w:val="clear" w:pos="4153"/>
          <w:tab w:val="clear" w:pos="8306"/>
        </w:tabs>
        <w:rPr>
          <w:b/>
        </w:rPr>
      </w:pPr>
      <w:r>
        <w:rPr>
          <w:b/>
        </w:rPr>
        <w:t>Note</w:t>
      </w:r>
      <w:r w:rsidR="00676594">
        <w:rPr>
          <w:b/>
        </w:rPr>
        <w:t>s</w:t>
      </w:r>
      <w:r>
        <w:rPr>
          <w:b/>
        </w:rPr>
        <w:t xml:space="preserve"> the f</w:t>
      </w:r>
      <w:r w:rsidR="00BD3873">
        <w:rPr>
          <w:b/>
        </w:rPr>
        <w:t xml:space="preserve">unding </w:t>
      </w:r>
      <w:r w:rsidR="007F405E">
        <w:rPr>
          <w:b/>
        </w:rPr>
        <w:t>allocation</w:t>
      </w:r>
      <w:r>
        <w:rPr>
          <w:b/>
        </w:rPr>
        <w:t>s</w:t>
      </w:r>
      <w:r w:rsidR="00420495">
        <w:rPr>
          <w:b/>
        </w:rPr>
        <w:t xml:space="preserve"> for 201</w:t>
      </w:r>
      <w:r w:rsidR="00C025BC">
        <w:rPr>
          <w:b/>
        </w:rPr>
        <w:t>7/18</w:t>
      </w:r>
    </w:p>
    <w:p w:rsidR="00D55586" w:rsidRDefault="00D55586" w:rsidP="00DB5E20">
      <w:pPr>
        <w:pStyle w:val="Header"/>
        <w:numPr>
          <w:ilvl w:val="0"/>
          <w:numId w:val="4"/>
        </w:numPr>
        <w:tabs>
          <w:tab w:val="clear" w:pos="4153"/>
          <w:tab w:val="clear" w:pos="8306"/>
        </w:tabs>
        <w:rPr>
          <w:b/>
        </w:rPr>
      </w:pPr>
      <w:r>
        <w:rPr>
          <w:b/>
        </w:rPr>
        <w:t>Agrees the c</w:t>
      </w:r>
      <w:r w:rsidR="00C025BC">
        <w:rPr>
          <w:b/>
        </w:rPr>
        <w:t>entrally retained items for 2017/18</w:t>
      </w:r>
      <w:r>
        <w:rPr>
          <w:b/>
        </w:rPr>
        <w:t xml:space="preserve"> (2.8)</w:t>
      </w:r>
    </w:p>
    <w:p w:rsidR="00DB5E20" w:rsidRDefault="00DB5E20" w:rsidP="00BE5714">
      <w:pPr>
        <w:pStyle w:val="Header"/>
        <w:tabs>
          <w:tab w:val="clear" w:pos="4153"/>
          <w:tab w:val="clear" w:pos="8306"/>
        </w:tabs>
        <w:rPr>
          <w:b/>
        </w:rPr>
      </w:pPr>
    </w:p>
    <w:p w:rsidR="00904A8D" w:rsidRDefault="00904A8D">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F4301A" w:rsidRDefault="00904A8D" w:rsidP="0048394B">
      <w:pPr>
        <w:pStyle w:val="BodyTextIndent3"/>
        <w:ind w:hanging="720"/>
        <w:jc w:val="both"/>
        <w:rPr>
          <w:rFonts w:cs="Times New Roman"/>
          <w:sz w:val="24"/>
          <w:szCs w:val="24"/>
        </w:rPr>
      </w:pPr>
      <w:r w:rsidRPr="00E43E8E">
        <w:rPr>
          <w:rFonts w:cs="Times New Roman"/>
          <w:sz w:val="24"/>
          <w:szCs w:val="24"/>
        </w:rPr>
        <w:t>1.1</w:t>
      </w:r>
      <w:r w:rsidRPr="00E43E8E">
        <w:rPr>
          <w:rFonts w:cs="Times New Roman"/>
          <w:sz w:val="24"/>
          <w:szCs w:val="24"/>
        </w:rPr>
        <w:tab/>
      </w:r>
      <w:r w:rsidR="00420495">
        <w:rPr>
          <w:rFonts w:cs="Times New Roman"/>
          <w:sz w:val="24"/>
          <w:szCs w:val="24"/>
        </w:rPr>
        <w:t xml:space="preserve">The Government announced the Dedicated Schools Grant allocation on </w:t>
      </w:r>
      <w:r w:rsidR="000E6B4D">
        <w:rPr>
          <w:rFonts w:cs="Times New Roman"/>
          <w:sz w:val="24"/>
          <w:szCs w:val="24"/>
        </w:rPr>
        <w:t>20</w:t>
      </w:r>
      <w:r w:rsidR="00420495" w:rsidRPr="004A5776">
        <w:rPr>
          <w:rFonts w:cs="Times New Roman"/>
          <w:sz w:val="24"/>
          <w:szCs w:val="24"/>
          <w:vertAlign w:val="superscript"/>
        </w:rPr>
        <w:t>th</w:t>
      </w:r>
      <w:r w:rsidR="000E6B4D">
        <w:rPr>
          <w:rFonts w:cs="Times New Roman"/>
          <w:sz w:val="24"/>
          <w:szCs w:val="24"/>
        </w:rPr>
        <w:t xml:space="preserve"> December 2016</w:t>
      </w:r>
      <w:r w:rsidR="00420495">
        <w:rPr>
          <w:rFonts w:cs="Times New Roman"/>
          <w:sz w:val="24"/>
          <w:szCs w:val="24"/>
        </w:rPr>
        <w:t>. Merton’s allocation split over the three blocks is as follows</w:t>
      </w:r>
      <w:r w:rsidR="00E43E8E">
        <w:rPr>
          <w:rFonts w:cs="Times New Roman"/>
          <w:sz w:val="24"/>
          <w:szCs w:val="24"/>
        </w:rPr>
        <w:t>:</w:t>
      </w:r>
    </w:p>
    <w:p w:rsidR="006A1CB0" w:rsidRDefault="006A1CB0" w:rsidP="0048394B">
      <w:pPr>
        <w:pStyle w:val="BodyTextIndent3"/>
        <w:ind w:hanging="720"/>
        <w:jc w:val="both"/>
        <w:rPr>
          <w:rFonts w:cs="Times New Roman"/>
          <w:sz w:val="24"/>
          <w:szCs w:val="24"/>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18"/>
        <w:gridCol w:w="1417"/>
      </w:tblGrid>
      <w:tr w:rsidR="000E6B4D" w:rsidRPr="00A36F4B" w:rsidTr="009D0FF0">
        <w:tc>
          <w:tcPr>
            <w:tcW w:w="5517" w:type="dxa"/>
            <w:shd w:val="clear" w:color="auto" w:fill="00B050"/>
          </w:tcPr>
          <w:p w:rsidR="000E6B4D" w:rsidRPr="00A36F4B" w:rsidRDefault="000E6B4D" w:rsidP="009D0FF0">
            <w:pPr>
              <w:pStyle w:val="BodyTextIndent3"/>
              <w:ind w:left="0"/>
              <w:jc w:val="both"/>
              <w:rPr>
                <w:b/>
                <w:color w:val="FFFFFF" w:themeColor="background1"/>
                <w:sz w:val="24"/>
                <w:szCs w:val="24"/>
              </w:rPr>
            </w:pPr>
          </w:p>
          <w:p w:rsidR="000E6B4D" w:rsidRPr="00A36F4B" w:rsidRDefault="000E6B4D" w:rsidP="009D0FF0">
            <w:pPr>
              <w:pStyle w:val="BodyTextIndent3"/>
              <w:ind w:left="0"/>
              <w:jc w:val="both"/>
              <w:rPr>
                <w:b/>
                <w:color w:val="FFFFFF" w:themeColor="background1"/>
                <w:sz w:val="24"/>
                <w:szCs w:val="24"/>
              </w:rPr>
            </w:pPr>
            <w:r w:rsidRPr="00A36F4B">
              <w:rPr>
                <w:b/>
                <w:color w:val="FFFFFF" w:themeColor="background1"/>
                <w:sz w:val="24"/>
                <w:szCs w:val="24"/>
              </w:rPr>
              <w:t>Description</w:t>
            </w:r>
          </w:p>
        </w:tc>
        <w:tc>
          <w:tcPr>
            <w:tcW w:w="1418" w:type="dxa"/>
            <w:shd w:val="clear" w:color="auto" w:fill="00B050"/>
          </w:tcPr>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2017/18</w:t>
            </w:r>
          </w:p>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£000</w:t>
            </w:r>
          </w:p>
        </w:tc>
        <w:tc>
          <w:tcPr>
            <w:tcW w:w="1417" w:type="dxa"/>
            <w:shd w:val="clear" w:color="auto" w:fill="00B050"/>
          </w:tcPr>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2016/17</w:t>
            </w:r>
          </w:p>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£000</w:t>
            </w:r>
          </w:p>
        </w:tc>
      </w:tr>
      <w:tr w:rsidR="000E6B4D" w:rsidTr="009D0FF0">
        <w:tc>
          <w:tcPr>
            <w:tcW w:w="5517" w:type="dxa"/>
            <w:shd w:val="clear" w:color="auto" w:fill="auto"/>
          </w:tcPr>
          <w:p w:rsidR="000E6B4D" w:rsidRPr="00010E9D" w:rsidRDefault="000E6B4D" w:rsidP="009D0FF0">
            <w:pPr>
              <w:pStyle w:val="BodyTextIndent3"/>
              <w:ind w:left="0"/>
              <w:jc w:val="both"/>
              <w:rPr>
                <w:sz w:val="24"/>
                <w:szCs w:val="24"/>
              </w:rPr>
            </w:pPr>
            <w:r w:rsidRPr="00010E9D">
              <w:rPr>
                <w:sz w:val="24"/>
                <w:szCs w:val="24"/>
              </w:rPr>
              <w:t>Schools Block</w:t>
            </w:r>
          </w:p>
        </w:tc>
        <w:tc>
          <w:tcPr>
            <w:tcW w:w="1418" w:type="dxa"/>
          </w:tcPr>
          <w:p w:rsidR="000E6B4D" w:rsidRPr="00010E9D" w:rsidRDefault="000E6B4D" w:rsidP="009D0FF0">
            <w:pPr>
              <w:pStyle w:val="BodyTextIndent3"/>
              <w:ind w:left="0"/>
              <w:jc w:val="right"/>
              <w:rPr>
                <w:sz w:val="24"/>
                <w:szCs w:val="24"/>
              </w:rPr>
            </w:pPr>
            <w:r>
              <w:rPr>
                <w:sz w:val="24"/>
                <w:szCs w:val="24"/>
              </w:rPr>
              <w:t>116,421</w:t>
            </w:r>
          </w:p>
        </w:tc>
        <w:tc>
          <w:tcPr>
            <w:tcW w:w="1417" w:type="dxa"/>
          </w:tcPr>
          <w:p w:rsidR="000E6B4D" w:rsidRPr="00010E9D" w:rsidRDefault="000E6B4D" w:rsidP="009D0FF0">
            <w:pPr>
              <w:pStyle w:val="BodyTextIndent3"/>
              <w:ind w:left="0"/>
              <w:jc w:val="right"/>
              <w:rPr>
                <w:sz w:val="24"/>
                <w:szCs w:val="24"/>
              </w:rPr>
            </w:pPr>
            <w:r>
              <w:rPr>
                <w:sz w:val="24"/>
                <w:szCs w:val="24"/>
              </w:rPr>
              <w:t>119,026</w:t>
            </w:r>
          </w:p>
        </w:tc>
      </w:tr>
      <w:tr w:rsidR="000E6B4D" w:rsidTr="009D0FF0">
        <w:tc>
          <w:tcPr>
            <w:tcW w:w="5517" w:type="dxa"/>
            <w:shd w:val="clear" w:color="auto" w:fill="auto"/>
          </w:tcPr>
          <w:p w:rsidR="000E6B4D" w:rsidRPr="00010E9D" w:rsidRDefault="000E6B4D" w:rsidP="009D0FF0">
            <w:pPr>
              <w:pStyle w:val="BodyTextIndent3"/>
              <w:ind w:left="0"/>
              <w:jc w:val="both"/>
              <w:rPr>
                <w:sz w:val="24"/>
                <w:szCs w:val="24"/>
              </w:rPr>
            </w:pPr>
            <w:r w:rsidRPr="00010E9D">
              <w:rPr>
                <w:sz w:val="24"/>
                <w:szCs w:val="24"/>
              </w:rPr>
              <w:t>Early Years Block</w:t>
            </w:r>
          </w:p>
        </w:tc>
        <w:tc>
          <w:tcPr>
            <w:tcW w:w="1418" w:type="dxa"/>
          </w:tcPr>
          <w:p w:rsidR="000E6B4D" w:rsidRPr="00010E9D" w:rsidRDefault="000E6B4D" w:rsidP="009D0FF0">
            <w:pPr>
              <w:pStyle w:val="BodyTextIndent3"/>
              <w:ind w:left="0"/>
              <w:jc w:val="right"/>
              <w:rPr>
                <w:sz w:val="24"/>
                <w:szCs w:val="24"/>
              </w:rPr>
            </w:pPr>
            <w:r>
              <w:rPr>
                <w:sz w:val="24"/>
                <w:szCs w:val="24"/>
              </w:rPr>
              <w:t>15,061</w:t>
            </w:r>
          </w:p>
        </w:tc>
        <w:tc>
          <w:tcPr>
            <w:tcW w:w="1417" w:type="dxa"/>
          </w:tcPr>
          <w:p w:rsidR="000E6B4D" w:rsidRPr="00010E9D" w:rsidRDefault="000E6B4D" w:rsidP="009D0FF0">
            <w:pPr>
              <w:pStyle w:val="BodyTextIndent3"/>
              <w:ind w:left="0"/>
              <w:jc w:val="right"/>
              <w:rPr>
                <w:sz w:val="24"/>
                <w:szCs w:val="24"/>
              </w:rPr>
            </w:pPr>
            <w:r>
              <w:rPr>
                <w:sz w:val="24"/>
                <w:szCs w:val="24"/>
              </w:rPr>
              <w:t>11,122</w:t>
            </w:r>
          </w:p>
        </w:tc>
      </w:tr>
      <w:tr w:rsidR="000E6B4D" w:rsidTr="009D0FF0">
        <w:tc>
          <w:tcPr>
            <w:tcW w:w="5517" w:type="dxa"/>
            <w:tcBorders>
              <w:bottom w:val="single" w:sz="4" w:space="0" w:color="auto"/>
            </w:tcBorders>
            <w:shd w:val="clear" w:color="auto" w:fill="auto"/>
          </w:tcPr>
          <w:p w:rsidR="000E6B4D" w:rsidRPr="00010E9D" w:rsidRDefault="000E6B4D" w:rsidP="009D0FF0">
            <w:pPr>
              <w:pStyle w:val="BodyTextIndent3"/>
              <w:ind w:left="0"/>
              <w:jc w:val="both"/>
              <w:rPr>
                <w:sz w:val="24"/>
                <w:szCs w:val="24"/>
              </w:rPr>
            </w:pPr>
            <w:r w:rsidRPr="00010E9D">
              <w:rPr>
                <w:sz w:val="24"/>
                <w:szCs w:val="24"/>
              </w:rPr>
              <w:t>High Needs Block</w:t>
            </w:r>
          </w:p>
        </w:tc>
        <w:tc>
          <w:tcPr>
            <w:tcW w:w="1418" w:type="dxa"/>
            <w:tcBorders>
              <w:bottom w:val="single" w:sz="4" w:space="0" w:color="auto"/>
            </w:tcBorders>
          </w:tcPr>
          <w:p w:rsidR="000E6B4D" w:rsidRPr="00010E9D" w:rsidRDefault="000E6B4D" w:rsidP="009D0FF0">
            <w:pPr>
              <w:pStyle w:val="BodyTextIndent3"/>
              <w:ind w:left="0"/>
              <w:jc w:val="right"/>
              <w:rPr>
                <w:sz w:val="24"/>
                <w:szCs w:val="24"/>
              </w:rPr>
            </w:pPr>
            <w:r>
              <w:rPr>
                <w:sz w:val="24"/>
                <w:szCs w:val="24"/>
              </w:rPr>
              <w:t>31,632</w:t>
            </w:r>
          </w:p>
        </w:tc>
        <w:tc>
          <w:tcPr>
            <w:tcW w:w="1417" w:type="dxa"/>
            <w:tcBorders>
              <w:bottom w:val="single" w:sz="4" w:space="0" w:color="auto"/>
            </w:tcBorders>
          </w:tcPr>
          <w:p w:rsidR="000E6B4D" w:rsidRPr="00010E9D" w:rsidRDefault="000E6B4D" w:rsidP="009D0FF0">
            <w:pPr>
              <w:pStyle w:val="BodyTextIndent3"/>
              <w:ind w:left="0"/>
              <w:jc w:val="right"/>
              <w:rPr>
                <w:sz w:val="24"/>
                <w:szCs w:val="24"/>
              </w:rPr>
            </w:pPr>
            <w:r>
              <w:rPr>
                <w:sz w:val="24"/>
                <w:szCs w:val="24"/>
              </w:rPr>
              <w:t>26,833</w:t>
            </w:r>
          </w:p>
        </w:tc>
      </w:tr>
      <w:tr w:rsidR="000E6B4D" w:rsidRPr="00A36F4B" w:rsidTr="009D0FF0">
        <w:tc>
          <w:tcPr>
            <w:tcW w:w="5517" w:type="dxa"/>
            <w:shd w:val="clear" w:color="auto" w:fill="00B050"/>
          </w:tcPr>
          <w:p w:rsidR="000E6B4D" w:rsidRPr="00A36F4B" w:rsidRDefault="000E6B4D" w:rsidP="009D0FF0">
            <w:pPr>
              <w:pStyle w:val="BodyTextIndent3"/>
              <w:ind w:left="0"/>
              <w:jc w:val="both"/>
              <w:rPr>
                <w:b/>
                <w:color w:val="FFFFFF" w:themeColor="background1"/>
                <w:sz w:val="24"/>
                <w:szCs w:val="24"/>
              </w:rPr>
            </w:pPr>
            <w:r w:rsidRPr="00A36F4B">
              <w:rPr>
                <w:b/>
                <w:color w:val="FFFFFF" w:themeColor="background1"/>
                <w:sz w:val="24"/>
                <w:szCs w:val="24"/>
              </w:rPr>
              <w:t>Total as at Schools Forum meeting</w:t>
            </w:r>
          </w:p>
        </w:tc>
        <w:tc>
          <w:tcPr>
            <w:tcW w:w="1418" w:type="dxa"/>
            <w:shd w:val="clear" w:color="auto" w:fill="00B050"/>
          </w:tcPr>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163,114</w:t>
            </w:r>
          </w:p>
        </w:tc>
        <w:tc>
          <w:tcPr>
            <w:tcW w:w="1417" w:type="dxa"/>
            <w:shd w:val="clear" w:color="auto" w:fill="00B050"/>
          </w:tcPr>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156,981</w:t>
            </w:r>
          </w:p>
        </w:tc>
      </w:tr>
      <w:tr w:rsidR="000E6B4D" w:rsidTr="009D0FF0">
        <w:tc>
          <w:tcPr>
            <w:tcW w:w="5517" w:type="dxa"/>
            <w:tcBorders>
              <w:bottom w:val="single" w:sz="4" w:space="0" w:color="auto"/>
            </w:tcBorders>
            <w:shd w:val="clear" w:color="auto" w:fill="auto"/>
          </w:tcPr>
          <w:p w:rsidR="000E6B4D" w:rsidRPr="00E958A6" w:rsidRDefault="000E6B4D" w:rsidP="009D0FF0">
            <w:pPr>
              <w:pStyle w:val="BodyTextIndent3"/>
              <w:ind w:left="0"/>
              <w:jc w:val="both"/>
              <w:rPr>
                <w:sz w:val="24"/>
                <w:szCs w:val="24"/>
              </w:rPr>
            </w:pPr>
            <w:r w:rsidRPr="00E958A6">
              <w:rPr>
                <w:sz w:val="24"/>
                <w:szCs w:val="24"/>
              </w:rPr>
              <w:t>Academy recoupment</w:t>
            </w:r>
          </w:p>
        </w:tc>
        <w:tc>
          <w:tcPr>
            <w:tcW w:w="1418" w:type="dxa"/>
            <w:tcBorders>
              <w:bottom w:val="single" w:sz="4" w:space="0" w:color="auto"/>
            </w:tcBorders>
          </w:tcPr>
          <w:p w:rsidR="000E6B4D" w:rsidRPr="00E958A6" w:rsidRDefault="000E6B4D" w:rsidP="009D0FF0">
            <w:pPr>
              <w:pStyle w:val="BodyTextIndent3"/>
              <w:ind w:left="0"/>
              <w:jc w:val="right"/>
              <w:rPr>
                <w:sz w:val="24"/>
                <w:szCs w:val="24"/>
              </w:rPr>
            </w:pPr>
            <w:r>
              <w:rPr>
                <w:sz w:val="24"/>
                <w:szCs w:val="24"/>
              </w:rPr>
              <w:t>(18,263)</w:t>
            </w:r>
          </w:p>
        </w:tc>
        <w:tc>
          <w:tcPr>
            <w:tcW w:w="1417" w:type="dxa"/>
            <w:tcBorders>
              <w:bottom w:val="single" w:sz="4" w:space="0" w:color="auto"/>
            </w:tcBorders>
          </w:tcPr>
          <w:p w:rsidR="000E6B4D" w:rsidRPr="00E958A6" w:rsidRDefault="000E6B4D" w:rsidP="009D0FF0">
            <w:pPr>
              <w:pStyle w:val="BodyTextIndent3"/>
              <w:ind w:left="0"/>
              <w:jc w:val="right"/>
              <w:rPr>
                <w:sz w:val="24"/>
                <w:szCs w:val="24"/>
              </w:rPr>
            </w:pPr>
            <w:r>
              <w:rPr>
                <w:sz w:val="24"/>
                <w:szCs w:val="24"/>
              </w:rPr>
              <w:t>(17,272)</w:t>
            </w:r>
          </w:p>
        </w:tc>
      </w:tr>
      <w:tr w:rsidR="000E6B4D" w:rsidRPr="00A36F4B" w:rsidTr="009D0FF0">
        <w:tc>
          <w:tcPr>
            <w:tcW w:w="5517" w:type="dxa"/>
            <w:shd w:val="clear" w:color="auto" w:fill="00B050"/>
          </w:tcPr>
          <w:p w:rsidR="000E6B4D" w:rsidRPr="00A36F4B" w:rsidRDefault="000E6B4D" w:rsidP="009D0FF0">
            <w:pPr>
              <w:pStyle w:val="BodyTextIndent3"/>
              <w:ind w:left="0"/>
              <w:jc w:val="both"/>
              <w:rPr>
                <w:b/>
                <w:color w:val="FFFFFF" w:themeColor="background1"/>
                <w:sz w:val="24"/>
                <w:szCs w:val="24"/>
              </w:rPr>
            </w:pPr>
            <w:r w:rsidRPr="00A36F4B">
              <w:rPr>
                <w:b/>
                <w:color w:val="FFFFFF" w:themeColor="background1"/>
                <w:sz w:val="24"/>
                <w:szCs w:val="24"/>
              </w:rPr>
              <w:t>Final allocation for the year</w:t>
            </w:r>
          </w:p>
        </w:tc>
        <w:tc>
          <w:tcPr>
            <w:tcW w:w="1418" w:type="dxa"/>
            <w:shd w:val="clear" w:color="auto" w:fill="00B050"/>
          </w:tcPr>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144,851</w:t>
            </w:r>
          </w:p>
        </w:tc>
        <w:tc>
          <w:tcPr>
            <w:tcW w:w="1417" w:type="dxa"/>
            <w:shd w:val="clear" w:color="auto" w:fill="00B050"/>
          </w:tcPr>
          <w:p w:rsidR="000E6B4D" w:rsidRPr="00A36F4B" w:rsidRDefault="000E6B4D" w:rsidP="009D0FF0">
            <w:pPr>
              <w:pStyle w:val="BodyTextIndent3"/>
              <w:ind w:left="0"/>
              <w:jc w:val="right"/>
              <w:rPr>
                <w:b/>
                <w:color w:val="FFFFFF" w:themeColor="background1"/>
                <w:sz w:val="24"/>
                <w:szCs w:val="24"/>
              </w:rPr>
            </w:pPr>
            <w:r w:rsidRPr="00A36F4B">
              <w:rPr>
                <w:b/>
                <w:color w:val="FFFFFF" w:themeColor="background1"/>
                <w:sz w:val="24"/>
                <w:szCs w:val="24"/>
              </w:rPr>
              <w:t>139,709</w:t>
            </w:r>
          </w:p>
        </w:tc>
      </w:tr>
    </w:tbl>
    <w:p w:rsidR="00204065" w:rsidRPr="00204065" w:rsidRDefault="00204065" w:rsidP="00204065">
      <w:pPr>
        <w:pStyle w:val="BodyText"/>
        <w:rPr>
          <w:rFonts w:ascii="Arial" w:hAnsi="Arial"/>
        </w:rPr>
      </w:pPr>
    </w:p>
    <w:p w:rsidR="00420495" w:rsidRPr="00974BB9" w:rsidRDefault="00204065" w:rsidP="00974BB9">
      <w:pPr>
        <w:pStyle w:val="BodyText"/>
        <w:ind w:left="720" w:hanging="720"/>
        <w:rPr>
          <w:rFonts w:ascii="Arial" w:hAnsi="Arial"/>
        </w:rPr>
      </w:pPr>
      <w:r>
        <w:rPr>
          <w:rFonts w:ascii="Arial" w:hAnsi="Arial"/>
        </w:rPr>
        <w:t>1.2</w:t>
      </w:r>
      <w:r w:rsidR="00420495">
        <w:rPr>
          <w:rFonts w:ascii="Arial" w:hAnsi="Arial"/>
        </w:rPr>
        <w:tab/>
        <w:t>This report will concentrate on the HNB including the allocation and commissioning purposes of this funding.</w:t>
      </w:r>
    </w:p>
    <w:p w:rsidR="00904A8D" w:rsidRDefault="00904A8D">
      <w:pPr>
        <w:pStyle w:val="Header"/>
        <w:numPr>
          <w:ilvl w:val="0"/>
          <w:numId w:val="2"/>
        </w:numPr>
        <w:tabs>
          <w:tab w:val="clear" w:pos="720"/>
          <w:tab w:val="clear" w:pos="4153"/>
          <w:tab w:val="clear" w:pos="8306"/>
        </w:tabs>
        <w:ind w:hanging="720"/>
        <w:rPr>
          <w:b/>
          <w:sz w:val="28"/>
        </w:rPr>
      </w:pPr>
      <w:r>
        <w:rPr>
          <w:b/>
          <w:sz w:val="28"/>
        </w:rPr>
        <w:t>Details</w:t>
      </w:r>
    </w:p>
    <w:p w:rsidR="006A1CB0" w:rsidRPr="00AE475F" w:rsidRDefault="006A1CB0" w:rsidP="004311BB">
      <w:pPr>
        <w:pStyle w:val="Header"/>
        <w:tabs>
          <w:tab w:val="clear" w:pos="4153"/>
          <w:tab w:val="clear" w:pos="8306"/>
        </w:tabs>
      </w:pPr>
    </w:p>
    <w:p w:rsidR="00D6691C" w:rsidRPr="004311BB" w:rsidRDefault="00E43E8E" w:rsidP="008D4BA3">
      <w:pPr>
        <w:pStyle w:val="Header"/>
        <w:numPr>
          <w:ilvl w:val="1"/>
          <w:numId w:val="2"/>
        </w:numPr>
        <w:tabs>
          <w:tab w:val="clear" w:pos="4153"/>
          <w:tab w:val="clear" w:pos="8306"/>
        </w:tabs>
        <w:ind w:hanging="720"/>
        <w:rPr>
          <w:b/>
        </w:rPr>
      </w:pPr>
      <w:r>
        <w:rPr>
          <w:b/>
          <w:szCs w:val="24"/>
        </w:rPr>
        <w:t>High Needs Block funding</w:t>
      </w:r>
    </w:p>
    <w:p w:rsidR="004311BB" w:rsidRDefault="004311BB" w:rsidP="00E43E8E">
      <w:pPr>
        <w:rPr>
          <w:rFonts w:ascii="Arial" w:hAnsi="Arial"/>
        </w:rPr>
      </w:pPr>
    </w:p>
    <w:p w:rsidR="00FF15C9" w:rsidRPr="00FF15C9" w:rsidRDefault="00FF15C9" w:rsidP="00E43E8E">
      <w:pPr>
        <w:numPr>
          <w:ilvl w:val="2"/>
          <w:numId w:val="2"/>
        </w:numPr>
        <w:ind w:left="709" w:hanging="709"/>
        <w:rPr>
          <w:rFonts w:ascii="Arial" w:hAnsi="Arial"/>
        </w:rPr>
      </w:pPr>
      <w:r>
        <w:rPr>
          <w:rFonts w:ascii="Arial" w:hAnsi="Arial" w:cs="Arial"/>
          <w:snapToGrid w:val="0"/>
          <w:szCs w:val="20"/>
        </w:rPr>
        <w:t>T</w:t>
      </w:r>
      <w:r w:rsidRPr="00B87E7F">
        <w:rPr>
          <w:rFonts w:ascii="Arial" w:hAnsi="Arial" w:cs="Arial"/>
          <w:snapToGrid w:val="0"/>
          <w:szCs w:val="20"/>
        </w:rPr>
        <w:t xml:space="preserve">he high needs funding system is designed to support a continuum of provision for pupils and students with </w:t>
      </w:r>
      <w:r>
        <w:rPr>
          <w:rFonts w:ascii="Arial" w:hAnsi="Arial" w:cs="Arial"/>
          <w:snapToGrid w:val="0"/>
          <w:szCs w:val="20"/>
        </w:rPr>
        <w:t>S</w:t>
      </w:r>
      <w:r w:rsidRPr="00B87E7F">
        <w:rPr>
          <w:rFonts w:ascii="Arial" w:hAnsi="Arial" w:cs="Arial"/>
          <w:snapToGrid w:val="0"/>
          <w:szCs w:val="20"/>
        </w:rPr>
        <w:t xml:space="preserve">pecial </w:t>
      </w:r>
      <w:r>
        <w:rPr>
          <w:rFonts w:ascii="Arial" w:hAnsi="Arial" w:cs="Arial"/>
          <w:snapToGrid w:val="0"/>
          <w:szCs w:val="20"/>
        </w:rPr>
        <w:t>E</w:t>
      </w:r>
      <w:r w:rsidRPr="00B87E7F">
        <w:rPr>
          <w:rFonts w:ascii="Arial" w:hAnsi="Arial" w:cs="Arial"/>
          <w:snapToGrid w:val="0"/>
          <w:szCs w:val="20"/>
        </w:rPr>
        <w:t xml:space="preserve">ducational </w:t>
      </w:r>
      <w:r>
        <w:rPr>
          <w:rFonts w:ascii="Arial" w:hAnsi="Arial" w:cs="Arial"/>
          <w:snapToGrid w:val="0"/>
          <w:szCs w:val="20"/>
        </w:rPr>
        <w:t>N</w:t>
      </w:r>
      <w:r w:rsidRPr="00B87E7F">
        <w:rPr>
          <w:rFonts w:ascii="Arial" w:hAnsi="Arial" w:cs="Arial"/>
          <w:snapToGrid w:val="0"/>
          <w:szCs w:val="20"/>
        </w:rPr>
        <w:t>eeds (SEN), learning difficulties and disabilities, from their early years to age 25</w:t>
      </w:r>
      <w:r>
        <w:rPr>
          <w:rFonts w:ascii="Arial" w:hAnsi="Arial" w:cs="Arial"/>
          <w:snapToGrid w:val="0"/>
          <w:szCs w:val="20"/>
        </w:rPr>
        <w:t>.</w:t>
      </w:r>
    </w:p>
    <w:p w:rsidR="00FF15C9" w:rsidRPr="00FF15C9" w:rsidRDefault="00FF15C9" w:rsidP="00FF15C9">
      <w:pPr>
        <w:ind w:left="709"/>
        <w:rPr>
          <w:rFonts w:ascii="Arial" w:hAnsi="Arial"/>
        </w:rPr>
      </w:pPr>
    </w:p>
    <w:p w:rsidR="004311BB" w:rsidRDefault="002E04DA" w:rsidP="00E43E8E">
      <w:pPr>
        <w:numPr>
          <w:ilvl w:val="2"/>
          <w:numId w:val="2"/>
        </w:numPr>
        <w:ind w:left="709" w:hanging="709"/>
        <w:rPr>
          <w:rFonts w:ascii="Arial" w:hAnsi="Arial"/>
        </w:rPr>
      </w:pPr>
      <w:r>
        <w:rPr>
          <w:rFonts w:ascii="Arial" w:hAnsi="Arial" w:cs="Arial"/>
          <w:snapToGrid w:val="0"/>
          <w:szCs w:val="20"/>
        </w:rPr>
        <w:t>Base funding (“place funding”) i</w:t>
      </w:r>
      <w:r w:rsidR="00FF15C9" w:rsidRPr="00743334">
        <w:rPr>
          <w:rFonts w:ascii="Arial" w:hAnsi="Arial" w:cs="Arial"/>
          <w:snapToGrid w:val="0"/>
          <w:szCs w:val="20"/>
        </w:rPr>
        <w:t>s given to local authorities to distribute to insti</w:t>
      </w:r>
      <w:r>
        <w:rPr>
          <w:rFonts w:ascii="Arial" w:hAnsi="Arial" w:cs="Arial"/>
          <w:snapToGrid w:val="0"/>
          <w:szCs w:val="20"/>
        </w:rPr>
        <w:t>tutions for them to provide</w:t>
      </w:r>
      <w:r w:rsidR="00FF15C9" w:rsidRPr="00743334">
        <w:rPr>
          <w:rFonts w:ascii="Arial" w:hAnsi="Arial" w:cs="Arial"/>
          <w:snapToGrid w:val="0"/>
          <w:szCs w:val="20"/>
        </w:rPr>
        <w:t xml:space="preserve"> plac</w:t>
      </w:r>
      <w:r>
        <w:rPr>
          <w:rFonts w:ascii="Arial" w:hAnsi="Arial" w:cs="Arial"/>
          <w:snapToGrid w:val="0"/>
          <w:szCs w:val="20"/>
        </w:rPr>
        <w:t>es on an on-going basis. This i</w:t>
      </w:r>
      <w:r w:rsidR="00FF15C9" w:rsidRPr="00743334">
        <w:rPr>
          <w:rFonts w:ascii="Arial" w:hAnsi="Arial" w:cs="Arial"/>
          <w:snapToGrid w:val="0"/>
          <w:szCs w:val="20"/>
        </w:rPr>
        <w:t>s supplemented with “top-up funding” which follows individual pupils and students. The top-up funding provided to local authorities includes funding for central services to support these high cost places</w:t>
      </w:r>
      <w:r w:rsidR="00FF15C9">
        <w:rPr>
          <w:rFonts w:ascii="Arial" w:hAnsi="Arial" w:cs="Arial"/>
          <w:snapToGrid w:val="0"/>
          <w:szCs w:val="20"/>
        </w:rPr>
        <w:t>.</w:t>
      </w:r>
      <w:r w:rsidR="004311BB" w:rsidRPr="004311BB">
        <w:rPr>
          <w:rFonts w:ascii="Arial" w:hAnsi="Arial"/>
        </w:rPr>
        <w:t xml:space="preserve"> </w:t>
      </w:r>
    </w:p>
    <w:p w:rsidR="00E43E8E" w:rsidRDefault="00E43E8E" w:rsidP="00E43E8E">
      <w:pPr>
        <w:ind w:left="709"/>
        <w:rPr>
          <w:rFonts w:ascii="Arial" w:hAnsi="Arial"/>
        </w:rPr>
      </w:pPr>
    </w:p>
    <w:p w:rsidR="004311BB" w:rsidRDefault="002711A6" w:rsidP="004311BB">
      <w:pPr>
        <w:numPr>
          <w:ilvl w:val="2"/>
          <w:numId w:val="2"/>
        </w:numPr>
        <w:ind w:left="709" w:hanging="709"/>
        <w:rPr>
          <w:rFonts w:ascii="Arial" w:hAnsi="Arial"/>
        </w:rPr>
      </w:pPr>
      <w:r>
        <w:rPr>
          <w:rFonts w:ascii="Arial" w:hAnsi="Arial"/>
        </w:rPr>
        <w:t>The table on the next page</w:t>
      </w:r>
      <w:r w:rsidR="00C853E4" w:rsidRPr="003F7CD7">
        <w:rPr>
          <w:rFonts w:ascii="Arial" w:hAnsi="Arial"/>
        </w:rPr>
        <w:t xml:space="preserve"> </w:t>
      </w:r>
      <w:r w:rsidR="004311BB" w:rsidRPr="003F7CD7">
        <w:rPr>
          <w:rFonts w:ascii="Arial" w:hAnsi="Arial"/>
        </w:rPr>
        <w:t>shows how Merton’s High Needs Block funding is alloc</w:t>
      </w:r>
      <w:r w:rsidR="00C853E4" w:rsidRPr="003F7CD7">
        <w:rPr>
          <w:rFonts w:ascii="Arial" w:hAnsi="Arial"/>
        </w:rPr>
        <w:t>ated.</w:t>
      </w:r>
    </w:p>
    <w:tbl>
      <w:tblPr>
        <w:tblW w:w="83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9"/>
        <w:gridCol w:w="1409"/>
        <w:gridCol w:w="1276"/>
      </w:tblGrid>
      <w:tr w:rsidR="000E6B4D" w:rsidRPr="000E6B4D" w:rsidTr="000E6B4D">
        <w:tc>
          <w:tcPr>
            <w:tcW w:w="5659" w:type="dxa"/>
            <w:shd w:val="clear" w:color="auto" w:fill="00B050"/>
          </w:tcPr>
          <w:p w:rsidR="000E6B4D" w:rsidRPr="000E6B4D" w:rsidRDefault="000E6B4D" w:rsidP="007156CF">
            <w:pPr>
              <w:pStyle w:val="BodyTextIndent3"/>
              <w:ind w:left="0"/>
              <w:jc w:val="both"/>
              <w:rPr>
                <w:b/>
                <w:color w:val="FFFFFF" w:themeColor="background1"/>
                <w:sz w:val="24"/>
                <w:szCs w:val="24"/>
              </w:rPr>
            </w:pPr>
          </w:p>
          <w:p w:rsidR="000E6B4D" w:rsidRPr="000E6B4D" w:rsidRDefault="000E6B4D" w:rsidP="007156CF">
            <w:pPr>
              <w:pStyle w:val="BodyTextIndent3"/>
              <w:ind w:left="0"/>
              <w:jc w:val="both"/>
              <w:rPr>
                <w:b/>
                <w:color w:val="FFFFFF" w:themeColor="background1"/>
                <w:sz w:val="24"/>
                <w:szCs w:val="24"/>
              </w:rPr>
            </w:pPr>
            <w:r w:rsidRPr="000E6B4D">
              <w:rPr>
                <w:b/>
                <w:color w:val="FFFFFF" w:themeColor="background1"/>
                <w:sz w:val="24"/>
                <w:szCs w:val="24"/>
              </w:rPr>
              <w:t>Description</w:t>
            </w:r>
          </w:p>
        </w:tc>
        <w:tc>
          <w:tcPr>
            <w:tcW w:w="1409" w:type="dxa"/>
            <w:shd w:val="clear" w:color="auto" w:fill="00B050"/>
          </w:tcPr>
          <w:p w:rsidR="000E6B4D" w:rsidRPr="000E6B4D" w:rsidRDefault="000E6B4D" w:rsidP="00E43E8E">
            <w:pPr>
              <w:pStyle w:val="BodyTextIndent3"/>
              <w:ind w:left="0"/>
              <w:jc w:val="right"/>
              <w:rPr>
                <w:b/>
                <w:color w:val="FFFFFF" w:themeColor="background1"/>
                <w:sz w:val="24"/>
                <w:szCs w:val="24"/>
              </w:rPr>
            </w:pPr>
            <w:r w:rsidRPr="000E6B4D">
              <w:rPr>
                <w:b/>
                <w:color w:val="FFFFFF" w:themeColor="background1"/>
                <w:sz w:val="24"/>
                <w:szCs w:val="24"/>
              </w:rPr>
              <w:t>2017/18</w:t>
            </w:r>
          </w:p>
          <w:p w:rsidR="000E6B4D" w:rsidRPr="000E6B4D" w:rsidRDefault="000E6B4D" w:rsidP="00E43E8E">
            <w:pPr>
              <w:pStyle w:val="BodyTextIndent3"/>
              <w:ind w:left="0"/>
              <w:jc w:val="right"/>
              <w:rPr>
                <w:b/>
                <w:color w:val="FFFFFF" w:themeColor="background1"/>
                <w:sz w:val="24"/>
                <w:szCs w:val="24"/>
              </w:rPr>
            </w:pPr>
            <w:r w:rsidRPr="000E6B4D">
              <w:rPr>
                <w:b/>
                <w:color w:val="FFFFFF" w:themeColor="background1"/>
                <w:sz w:val="24"/>
                <w:szCs w:val="24"/>
              </w:rPr>
              <w:t>£000</w:t>
            </w:r>
          </w:p>
        </w:tc>
        <w:tc>
          <w:tcPr>
            <w:tcW w:w="1276" w:type="dxa"/>
            <w:shd w:val="clear" w:color="auto" w:fill="00B050"/>
          </w:tcPr>
          <w:p w:rsidR="000E6B4D" w:rsidRPr="000E6B4D" w:rsidRDefault="000E6B4D" w:rsidP="009D0FF0">
            <w:pPr>
              <w:pStyle w:val="BodyTextIndent3"/>
              <w:ind w:left="0"/>
              <w:jc w:val="right"/>
              <w:rPr>
                <w:b/>
                <w:color w:val="FFFFFF" w:themeColor="background1"/>
                <w:sz w:val="24"/>
                <w:szCs w:val="24"/>
              </w:rPr>
            </w:pPr>
            <w:r w:rsidRPr="000E6B4D">
              <w:rPr>
                <w:b/>
                <w:color w:val="FFFFFF" w:themeColor="background1"/>
                <w:sz w:val="24"/>
                <w:szCs w:val="24"/>
              </w:rPr>
              <w:t>2016/17</w:t>
            </w:r>
          </w:p>
          <w:p w:rsidR="000E6B4D" w:rsidRPr="000E6B4D" w:rsidRDefault="000E6B4D" w:rsidP="009D0FF0">
            <w:pPr>
              <w:pStyle w:val="BodyTextIndent3"/>
              <w:ind w:left="0"/>
              <w:jc w:val="right"/>
              <w:rPr>
                <w:b/>
                <w:color w:val="FFFFFF" w:themeColor="background1"/>
                <w:sz w:val="24"/>
                <w:szCs w:val="24"/>
              </w:rPr>
            </w:pPr>
            <w:r w:rsidRPr="000E6B4D">
              <w:rPr>
                <w:b/>
                <w:color w:val="FFFFFF" w:themeColor="background1"/>
                <w:sz w:val="24"/>
                <w:szCs w:val="24"/>
              </w:rPr>
              <w:t>£000</w:t>
            </w:r>
          </w:p>
        </w:tc>
      </w:tr>
      <w:tr w:rsidR="000E6B4D" w:rsidRPr="00F341BF" w:rsidTr="000E6B4D">
        <w:tc>
          <w:tcPr>
            <w:tcW w:w="5659" w:type="dxa"/>
            <w:tcBorders>
              <w:top w:val="single" w:sz="4" w:space="0" w:color="auto"/>
              <w:left w:val="single" w:sz="4" w:space="0" w:color="auto"/>
              <w:bottom w:val="single" w:sz="4" w:space="0" w:color="auto"/>
              <w:right w:val="single" w:sz="4" w:space="0" w:color="auto"/>
            </w:tcBorders>
            <w:shd w:val="clear" w:color="auto" w:fill="auto"/>
          </w:tcPr>
          <w:p w:rsidR="000E6B4D" w:rsidRPr="00F341BF" w:rsidRDefault="000E6B4D" w:rsidP="00F341BF">
            <w:pPr>
              <w:pStyle w:val="BodyTextIndent3"/>
              <w:ind w:left="0"/>
              <w:jc w:val="both"/>
              <w:rPr>
                <w:sz w:val="24"/>
                <w:szCs w:val="24"/>
              </w:rPr>
            </w:pPr>
            <w:r w:rsidRPr="00F341BF">
              <w:rPr>
                <w:sz w:val="24"/>
                <w:szCs w:val="24"/>
              </w:rPr>
              <w:t>Mainstream settings (Individual SEN statements)</w:t>
            </w:r>
          </w:p>
        </w:tc>
        <w:tc>
          <w:tcPr>
            <w:tcW w:w="1409" w:type="dxa"/>
            <w:tcBorders>
              <w:top w:val="single" w:sz="4" w:space="0" w:color="auto"/>
              <w:left w:val="single" w:sz="4" w:space="0" w:color="auto"/>
              <w:bottom w:val="single" w:sz="4" w:space="0" w:color="auto"/>
              <w:right w:val="single" w:sz="4" w:space="0" w:color="auto"/>
            </w:tcBorders>
          </w:tcPr>
          <w:p w:rsidR="000E6B4D" w:rsidRPr="00F341BF" w:rsidRDefault="00220FD9" w:rsidP="005D2F49">
            <w:pPr>
              <w:pStyle w:val="BodyTextIndent3"/>
              <w:ind w:left="0"/>
              <w:jc w:val="right"/>
              <w:rPr>
                <w:sz w:val="24"/>
                <w:szCs w:val="24"/>
              </w:rPr>
            </w:pPr>
            <w:r>
              <w:rPr>
                <w:sz w:val="24"/>
                <w:szCs w:val="24"/>
              </w:rPr>
              <w:t>3,711</w:t>
            </w:r>
          </w:p>
        </w:tc>
        <w:tc>
          <w:tcPr>
            <w:tcW w:w="1276" w:type="dxa"/>
            <w:tcBorders>
              <w:top w:val="single" w:sz="4" w:space="0" w:color="auto"/>
              <w:left w:val="single" w:sz="4" w:space="0" w:color="auto"/>
              <w:bottom w:val="single" w:sz="4" w:space="0" w:color="auto"/>
              <w:right w:val="single" w:sz="4" w:space="0" w:color="auto"/>
            </w:tcBorders>
          </w:tcPr>
          <w:p w:rsidR="000E6B4D" w:rsidRPr="00F341BF" w:rsidRDefault="000E6B4D" w:rsidP="009D0FF0">
            <w:pPr>
              <w:pStyle w:val="BodyTextIndent3"/>
              <w:ind w:left="0"/>
              <w:jc w:val="right"/>
              <w:rPr>
                <w:sz w:val="24"/>
                <w:szCs w:val="24"/>
              </w:rPr>
            </w:pPr>
            <w:r>
              <w:rPr>
                <w:sz w:val="24"/>
                <w:szCs w:val="24"/>
              </w:rPr>
              <w:t>3,666</w:t>
            </w:r>
          </w:p>
        </w:tc>
      </w:tr>
      <w:tr w:rsidR="000E6B4D" w:rsidRPr="00F341BF" w:rsidTr="000E6B4D">
        <w:tc>
          <w:tcPr>
            <w:tcW w:w="5659" w:type="dxa"/>
            <w:tcBorders>
              <w:top w:val="single" w:sz="4" w:space="0" w:color="auto"/>
              <w:left w:val="single" w:sz="4" w:space="0" w:color="auto"/>
              <w:bottom w:val="single" w:sz="4" w:space="0" w:color="auto"/>
              <w:right w:val="single" w:sz="4" w:space="0" w:color="auto"/>
            </w:tcBorders>
            <w:shd w:val="clear" w:color="auto" w:fill="auto"/>
          </w:tcPr>
          <w:p w:rsidR="000E6B4D" w:rsidRPr="00F341BF" w:rsidRDefault="000E6B4D" w:rsidP="00F341BF">
            <w:pPr>
              <w:pStyle w:val="BodyTextIndent3"/>
              <w:ind w:left="0"/>
              <w:jc w:val="both"/>
              <w:rPr>
                <w:sz w:val="24"/>
                <w:szCs w:val="24"/>
              </w:rPr>
            </w:pPr>
            <w:r>
              <w:rPr>
                <w:sz w:val="24"/>
                <w:szCs w:val="24"/>
              </w:rPr>
              <w:t>Special Schools</w:t>
            </w:r>
          </w:p>
        </w:tc>
        <w:tc>
          <w:tcPr>
            <w:tcW w:w="1409" w:type="dxa"/>
            <w:tcBorders>
              <w:top w:val="single" w:sz="4" w:space="0" w:color="auto"/>
              <w:left w:val="single" w:sz="4" w:space="0" w:color="auto"/>
              <w:bottom w:val="single" w:sz="4" w:space="0" w:color="auto"/>
              <w:right w:val="single" w:sz="4" w:space="0" w:color="auto"/>
            </w:tcBorders>
          </w:tcPr>
          <w:p w:rsidR="000E6B4D" w:rsidRPr="00F341BF" w:rsidRDefault="002E04DA" w:rsidP="005D2F49">
            <w:pPr>
              <w:pStyle w:val="BodyTextIndent3"/>
              <w:ind w:left="0"/>
              <w:jc w:val="right"/>
              <w:rPr>
                <w:sz w:val="24"/>
                <w:szCs w:val="24"/>
              </w:rPr>
            </w:pPr>
            <w:r>
              <w:rPr>
                <w:sz w:val="24"/>
                <w:szCs w:val="24"/>
              </w:rPr>
              <w:t>8,097</w:t>
            </w:r>
          </w:p>
        </w:tc>
        <w:tc>
          <w:tcPr>
            <w:tcW w:w="1276" w:type="dxa"/>
            <w:tcBorders>
              <w:top w:val="single" w:sz="4" w:space="0" w:color="auto"/>
              <w:left w:val="single" w:sz="4" w:space="0" w:color="auto"/>
              <w:bottom w:val="single" w:sz="4" w:space="0" w:color="auto"/>
              <w:right w:val="single" w:sz="4" w:space="0" w:color="auto"/>
            </w:tcBorders>
          </w:tcPr>
          <w:p w:rsidR="000E6B4D" w:rsidRPr="00F341BF" w:rsidRDefault="000E6B4D" w:rsidP="009D0FF0">
            <w:pPr>
              <w:pStyle w:val="BodyTextIndent3"/>
              <w:ind w:left="0"/>
              <w:jc w:val="right"/>
              <w:rPr>
                <w:sz w:val="24"/>
                <w:szCs w:val="24"/>
              </w:rPr>
            </w:pPr>
            <w:r>
              <w:rPr>
                <w:sz w:val="24"/>
                <w:szCs w:val="24"/>
              </w:rPr>
              <w:t>7,877</w:t>
            </w:r>
          </w:p>
        </w:tc>
      </w:tr>
      <w:tr w:rsidR="000E6B4D" w:rsidRPr="00F341BF" w:rsidTr="000E6B4D">
        <w:tc>
          <w:tcPr>
            <w:tcW w:w="5659" w:type="dxa"/>
            <w:tcBorders>
              <w:top w:val="single" w:sz="4" w:space="0" w:color="auto"/>
              <w:left w:val="single" w:sz="4" w:space="0" w:color="auto"/>
              <w:bottom w:val="single" w:sz="4" w:space="0" w:color="auto"/>
              <w:right w:val="single" w:sz="4" w:space="0" w:color="auto"/>
            </w:tcBorders>
            <w:shd w:val="clear" w:color="auto" w:fill="auto"/>
          </w:tcPr>
          <w:p w:rsidR="000E6B4D" w:rsidRPr="00F341BF" w:rsidRDefault="000E6B4D" w:rsidP="003D3F51">
            <w:pPr>
              <w:pStyle w:val="BodyTextIndent3"/>
              <w:ind w:left="0"/>
              <w:jc w:val="both"/>
              <w:rPr>
                <w:sz w:val="24"/>
                <w:szCs w:val="24"/>
              </w:rPr>
            </w:pPr>
            <w:r w:rsidRPr="00F341BF">
              <w:rPr>
                <w:sz w:val="24"/>
                <w:szCs w:val="24"/>
              </w:rPr>
              <w:t>A</w:t>
            </w:r>
            <w:r>
              <w:rPr>
                <w:sz w:val="24"/>
                <w:szCs w:val="24"/>
              </w:rPr>
              <w:t xml:space="preserve">dditional </w:t>
            </w:r>
            <w:r w:rsidRPr="00F341BF">
              <w:rPr>
                <w:sz w:val="24"/>
                <w:szCs w:val="24"/>
              </w:rPr>
              <w:t>R</w:t>
            </w:r>
            <w:r>
              <w:rPr>
                <w:sz w:val="24"/>
                <w:szCs w:val="24"/>
              </w:rPr>
              <w:t xml:space="preserve">esource </w:t>
            </w:r>
            <w:r w:rsidRPr="00F341BF">
              <w:rPr>
                <w:sz w:val="24"/>
                <w:szCs w:val="24"/>
              </w:rPr>
              <w:t>P</w:t>
            </w:r>
            <w:r>
              <w:rPr>
                <w:sz w:val="24"/>
                <w:szCs w:val="24"/>
              </w:rPr>
              <w:t xml:space="preserve">rovision </w:t>
            </w:r>
            <w:r w:rsidRPr="00F341BF">
              <w:rPr>
                <w:sz w:val="24"/>
                <w:szCs w:val="24"/>
              </w:rPr>
              <w:t>bases</w:t>
            </w:r>
          </w:p>
        </w:tc>
        <w:tc>
          <w:tcPr>
            <w:tcW w:w="1409" w:type="dxa"/>
            <w:tcBorders>
              <w:top w:val="single" w:sz="4" w:space="0" w:color="auto"/>
              <w:left w:val="single" w:sz="4" w:space="0" w:color="auto"/>
              <w:bottom w:val="single" w:sz="4" w:space="0" w:color="auto"/>
              <w:right w:val="single" w:sz="4" w:space="0" w:color="auto"/>
            </w:tcBorders>
          </w:tcPr>
          <w:p w:rsidR="000E6B4D" w:rsidRPr="00F341BF" w:rsidRDefault="002E04DA" w:rsidP="005D2F49">
            <w:pPr>
              <w:pStyle w:val="BodyTextIndent3"/>
              <w:ind w:left="0"/>
              <w:jc w:val="right"/>
              <w:rPr>
                <w:sz w:val="24"/>
                <w:szCs w:val="24"/>
              </w:rPr>
            </w:pPr>
            <w:r>
              <w:rPr>
                <w:sz w:val="24"/>
                <w:szCs w:val="24"/>
              </w:rPr>
              <w:t>2,542</w:t>
            </w:r>
          </w:p>
        </w:tc>
        <w:tc>
          <w:tcPr>
            <w:tcW w:w="1276" w:type="dxa"/>
            <w:tcBorders>
              <w:top w:val="single" w:sz="4" w:space="0" w:color="auto"/>
              <w:left w:val="single" w:sz="4" w:space="0" w:color="auto"/>
              <w:bottom w:val="single" w:sz="4" w:space="0" w:color="auto"/>
              <w:right w:val="single" w:sz="4" w:space="0" w:color="auto"/>
            </w:tcBorders>
          </w:tcPr>
          <w:p w:rsidR="000E6B4D" w:rsidRPr="00F341BF" w:rsidRDefault="000E6B4D" w:rsidP="009D0FF0">
            <w:pPr>
              <w:pStyle w:val="BodyTextIndent3"/>
              <w:ind w:left="0"/>
              <w:jc w:val="right"/>
              <w:rPr>
                <w:sz w:val="24"/>
                <w:szCs w:val="24"/>
              </w:rPr>
            </w:pPr>
            <w:r>
              <w:rPr>
                <w:sz w:val="24"/>
                <w:szCs w:val="24"/>
              </w:rPr>
              <w:t>2,671</w:t>
            </w:r>
          </w:p>
        </w:tc>
      </w:tr>
      <w:tr w:rsidR="000E6B4D" w:rsidRPr="00F341BF" w:rsidTr="000E6B4D">
        <w:tc>
          <w:tcPr>
            <w:tcW w:w="5659" w:type="dxa"/>
            <w:tcBorders>
              <w:top w:val="single" w:sz="4" w:space="0" w:color="auto"/>
              <w:left w:val="single" w:sz="4" w:space="0" w:color="auto"/>
              <w:bottom w:val="single" w:sz="4" w:space="0" w:color="auto"/>
              <w:right w:val="single" w:sz="4" w:space="0" w:color="auto"/>
            </w:tcBorders>
            <w:shd w:val="clear" w:color="auto" w:fill="auto"/>
          </w:tcPr>
          <w:p w:rsidR="000E6B4D" w:rsidRPr="00F341BF" w:rsidRDefault="000E6B4D" w:rsidP="00F341BF">
            <w:pPr>
              <w:pStyle w:val="BodyTextIndent3"/>
              <w:ind w:left="0"/>
              <w:jc w:val="both"/>
              <w:rPr>
                <w:sz w:val="24"/>
                <w:szCs w:val="24"/>
              </w:rPr>
            </w:pPr>
            <w:r w:rsidRPr="00F341BF">
              <w:rPr>
                <w:sz w:val="24"/>
                <w:szCs w:val="24"/>
              </w:rPr>
              <w:t>Pupil Referral Unit (PRU)</w:t>
            </w:r>
          </w:p>
        </w:tc>
        <w:tc>
          <w:tcPr>
            <w:tcW w:w="1409" w:type="dxa"/>
            <w:tcBorders>
              <w:top w:val="single" w:sz="4" w:space="0" w:color="auto"/>
              <w:left w:val="single" w:sz="4" w:space="0" w:color="auto"/>
              <w:bottom w:val="single" w:sz="4" w:space="0" w:color="auto"/>
              <w:right w:val="single" w:sz="4" w:space="0" w:color="auto"/>
            </w:tcBorders>
          </w:tcPr>
          <w:p w:rsidR="000E6B4D" w:rsidRPr="00F341BF" w:rsidRDefault="002E04DA" w:rsidP="005D2F49">
            <w:pPr>
              <w:pStyle w:val="BodyTextIndent3"/>
              <w:ind w:left="0"/>
              <w:jc w:val="right"/>
              <w:rPr>
                <w:sz w:val="24"/>
                <w:szCs w:val="24"/>
              </w:rPr>
            </w:pPr>
            <w:r>
              <w:rPr>
                <w:sz w:val="24"/>
                <w:szCs w:val="24"/>
              </w:rPr>
              <w:t>1,788</w:t>
            </w:r>
          </w:p>
        </w:tc>
        <w:tc>
          <w:tcPr>
            <w:tcW w:w="1276" w:type="dxa"/>
            <w:tcBorders>
              <w:top w:val="single" w:sz="4" w:space="0" w:color="auto"/>
              <w:left w:val="single" w:sz="4" w:space="0" w:color="auto"/>
              <w:bottom w:val="single" w:sz="4" w:space="0" w:color="auto"/>
              <w:right w:val="single" w:sz="4" w:space="0" w:color="auto"/>
            </w:tcBorders>
          </w:tcPr>
          <w:p w:rsidR="000E6B4D" w:rsidRPr="00F341BF" w:rsidRDefault="000E6B4D" w:rsidP="009D0FF0">
            <w:pPr>
              <w:pStyle w:val="BodyTextIndent3"/>
              <w:ind w:left="0"/>
              <w:jc w:val="right"/>
              <w:rPr>
                <w:sz w:val="24"/>
                <w:szCs w:val="24"/>
              </w:rPr>
            </w:pPr>
            <w:r>
              <w:rPr>
                <w:sz w:val="24"/>
                <w:szCs w:val="24"/>
              </w:rPr>
              <w:t>1,788</w:t>
            </w:r>
          </w:p>
        </w:tc>
      </w:tr>
      <w:tr w:rsidR="000E6B4D" w:rsidRPr="00F341BF" w:rsidTr="000E6B4D">
        <w:tc>
          <w:tcPr>
            <w:tcW w:w="5659" w:type="dxa"/>
            <w:tcBorders>
              <w:top w:val="single" w:sz="4" w:space="0" w:color="auto"/>
              <w:left w:val="single" w:sz="4" w:space="0" w:color="auto"/>
              <w:bottom w:val="single" w:sz="4" w:space="0" w:color="auto"/>
              <w:right w:val="single" w:sz="4" w:space="0" w:color="auto"/>
            </w:tcBorders>
            <w:shd w:val="clear" w:color="auto" w:fill="auto"/>
          </w:tcPr>
          <w:p w:rsidR="000E6B4D" w:rsidRPr="00F341BF" w:rsidRDefault="000E6B4D" w:rsidP="00D02590">
            <w:pPr>
              <w:pStyle w:val="BodyTextIndent3"/>
              <w:ind w:left="0"/>
              <w:jc w:val="both"/>
              <w:rPr>
                <w:sz w:val="24"/>
                <w:szCs w:val="24"/>
              </w:rPr>
            </w:pPr>
            <w:r w:rsidRPr="00F341BF">
              <w:rPr>
                <w:sz w:val="24"/>
                <w:szCs w:val="24"/>
              </w:rPr>
              <w:t xml:space="preserve">Centrally retained High Needs funding for </w:t>
            </w:r>
            <w:r>
              <w:rPr>
                <w:sz w:val="24"/>
                <w:szCs w:val="24"/>
              </w:rPr>
              <w:t>commissioned services</w:t>
            </w:r>
          </w:p>
        </w:tc>
        <w:tc>
          <w:tcPr>
            <w:tcW w:w="1409" w:type="dxa"/>
            <w:tcBorders>
              <w:top w:val="single" w:sz="4" w:space="0" w:color="auto"/>
              <w:left w:val="single" w:sz="4" w:space="0" w:color="auto"/>
              <w:bottom w:val="single" w:sz="4" w:space="0" w:color="auto"/>
              <w:right w:val="single" w:sz="4" w:space="0" w:color="auto"/>
            </w:tcBorders>
          </w:tcPr>
          <w:p w:rsidR="000E6B4D" w:rsidRPr="00F341BF" w:rsidRDefault="00064660" w:rsidP="00790189">
            <w:pPr>
              <w:pStyle w:val="BodyTextIndent3"/>
              <w:ind w:left="0"/>
              <w:jc w:val="right"/>
              <w:rPr>
                <w:sz w:val="24"/>
                <w:szCs w:val="24"/>
              </w:rPr>
            </w:pPr>
            <w:r>
              <w:rPr>
                <w:sz w:val="24"/>
                <w:szCs w:val="24"/>
              </w:rPr>
              <w:t>13,636</w:t>
            </w:r>
          </w:p>
        </w:tc>
        <w:tc>
          <w:tcPr>
            <w:tcW w:w="1276" w:type="dxa"/>
            <w:tcBorders>
              <w:top w:val="single" w:sz="4" w:space="0" w:color="auto"/>
              <w:left w:val="single" w:sz="4" w:space="0" w:color="auto"/>
              <w:bottom w:val="single" w:sz="4" w:space="0" w:color="auto"/>
              <w:right w:val="single" w:sz="4" w:space="0" w:color="auto"/>
            </w:tcBorders>
          </w:tcPr>
          <w:p w:rsidR="000E6B4D" w:rsidRPr="00F341BF" w:rsidRDefault="000E6B4D" w:rsidP="009D0FF0">
            <w:pPr>
              <w:pStyle w:val="BodyTextIndent3"/>
              <w:ind w:left="0"/>
              <w:jc w:val="right"/>
              <w:rPr>
                <w:sz w:val="24"/>
                <w:szCs w:val="24"/>
              </w:rPr>
            </w:pPr>
            <w:r>
              <w:rPr>
                <w:sz w:val="24"/>
                <w:szCs w:val="24"/>
              </w:rPr>
              <w:t>12,851</w:t>
            </w:r>
          </w:p>
        </w:tc>
      </w:tr>
      <w:tr w:rsidR="000E6B4D" w:rsidTr="000E6B4D">
        <w:tc>
          <w:tcPr>
            <w:tcW w:w="5659" w:type="dxa"/>
            <w:shd w:val="clear" w:color="auto" w:fill="auto"/>
          </w:tcPr>
          <w:p w:rsidR="000E6B4D" w:rsidRPr="00010E9D" w:rsidRDefault="000E6B4D" w:rsidP="00585FAD">
            <w:pPr>
              <w:pStyle w:val="BodyTextIndent3"/>
              <w:ind w:left="0"/>
              <w:jc w:val="both"/>
              <w:rPr>
                <w:sz w:val="24"/>
                <w:szCs w:val="24"/>
              </w:rPr>
            </w:pPr>
            <w:r>
              <w:rPr>
                <w:sz w:val="24"/>
                <w:szCs w:val="24"/>
              </w:rPr>
              <w:t>Post 16 FE and ISP funding</w:t>
            </w:r>
          </w:p>
        </w:tc>
        <w:tc>
          <w:tcPr>
            <w:tcW w:w="1409" w:type="dxa"/>
          </w:tcPr>
          <w:p w:rsidR="000E6B4D" w:rsidRDefault="002E04DA" w:rsidP="00055F3D">
            <w:pPr>
              <w:pStyle w:val="BodyTextIndent3"/>
              <w:ind w:left="0"/>
              <w:jc w:val="right"/>
              <w:rPr>
                <w:sz w:val="24"/>
                <w:szCs w:val="24"/>
              </w:rPr>
            </w:pPr>
            <w:r>
              <w:rPr>
                <w:sz w:val="24"/>
                <w:szCs w:val="24"/>
              </w:rPr>
              <w:t>2,060</w:t>
            </w:r>
          </w:p>
        </w:tc>
        <w:tc>
          <w:tcPr>
            <w:tcW w:w="1276" w:type="dxa"/>
          </w:tcPr>
          <w:p w:rsidR="000E6B4D" w:rsidRDefault="000E6B4D" w:rsidP="009D0FF0">
            <w:pPr>
              <w:pStyle w:val="BodyTextIndent3"/>
              <w:ind w:left="0"/>
              <w:jc w:val="right"/>
              <w:rPr>
                <w:sz w:val="24"/>
                <w:szCs w:val="24"/>
              </w:rPr>
            </w:pPr>
            <w:r>
              <w:rPr>
                <w:sz w:val="24"/>
                <w:szCs w:val="24"/>
              </w:rPr>
              <w:t>2,060</w:t>
            </w:r>
          </w:p>
        </w:tc>
      </w:tr>
      <w:tr w:rsidR="000E6B4D" w:rsidRPr="00F341BF" w:rsidTr="000E6B4D">
        <w:tc>
          <w:tcPr>
            <w:tcW w:w="5659" w:type="dxa"/>
            <w:tcBorders>
              <w:top w:val="single" w:sz="4" w:space="0" w:color="auto"/>
              <w:left w:val="single" w:sz="4" w:space="0" w:color="auto"/>
              <w:bottom w:val="single" w:sz="4" w:space="0" w:color="auto"/>
              <w:right w:val="single" w:sz="4" w:space="0" w:color="auto"/>
            </w:tcBorders>
            <w:shd w:val="clear" w:color="auto" w:fill="auto"/>
          </w:tcPr>
          <w:p w:rsidR="000E6B4D" w:rsidRPr="00F341BF" w:rsidRDefault="000E6B4D" w:rsidP="00F341BF">
            <w:pPr>
              <w:pStyle w:val="BodyTextIndent3"/>
              <w:ind w:left="0"/>
              <w:jc w:val="both"/>
              <w:rPr>
                <w:sz w:val="24"/>
                <w:szCs w:val="24"/>
              </w:rPr>
            </w:pPr>
            <w:r w:rsidRPr="00F341BF">
              <w:rPr>
                <w:sz w:val="24"/>
                <w:szCs w:val="24"/>
              </w:rPr>
              <w:t>Centrally retained High Needs funding for special schools</w:t>
            </w:r>
          </w:p>
        </w:tc>
        <w:tc>
          <w:tcPr>
            <w:tcW w:w="1409" w:type="dxa"/>
            <w:tcBorders>
              <w:top w:val="single" w:sz="4" w:space="0" w:color="auto"/>
              <w:left w:val="single" w:sz="4" w:space="0" w:color="auto"/>
              <w:bottom w:val="single" w:sz="4" w:space="0" w:color="auto"/>
              <w:right w:val="single" w:sz="4" w:space="0" w:color="auto"/>
            </w:tcBorders>
          </w:tcPr>
          <w:p w:rsidR="000E6B4D" w:rsidRPr="00F341BF" w:rsidRDefault="002E04DA" w:rsidP="00E43E8E">
            <w:pPr>
              <w:pStyle w:val="BodyTextIndent3"/>
              <w:ind w:left="0"/>
              <w:jc w:val="right"/>
              <w:rPr>
                <w:sz w:val="24"/>
                <w:szCs w:val="24"/>
              </w:rPr>
            </w:pPr>
            <w:r>
              <w:rPr>
                <w:sz w:val="24"/>
                <w:szCs w:val="24"/>
              </w:rPr>
              <w:t>37</w:t>
            </w:r>
          </w:p>
        </w:tc>
        <w:tc>
          <w:tcPr>
            <w:tcW w:w="1276" w:type="dxa"/>
            <w:tcBorders>
              <w:top w:val="single" w:sz="4" w:space="0" w:color="auto"/>
              <w:left w:val="single" w:sz="4" w:space="0" w:color="auto"/>
              <w:bottom w:val="single" w:sz="4" w:space="0" w:color="auto"/>
              <w:right w:val="single" w:sz="4" w:space="0" w:color="auto"/>
            </w:tcBorders>
          </w:tcPr>
          <w:p w:rsidR="000E6B4D" w:rsidRPr="00F341BF" w:rsidRDefault="000E6B4D" w:rsidP="009D0FF0">
            <w:pPr>
              <w:pStyle w:val="BodyTextIndent3"/>
              <w:ind w:left="0"/>
              <w:jc w:val="right"/>
              <w:rPr>
                <w:sz w:val="24"/>
                <w:szCs w:val="24"/>
              </w:rPr>
            </w:pPr>
            <w:r>
              <w:rPr>
                <w:sz w:val="24"/>
                <w:szCs w:val="24"/>
              </w:rPr>
              <w:t>35</w:t>
            </w:r>
          </w:p>
        </w:tc>
      </w:tr>
      <w:tr w:rsidR="002E04DA" w:rsidTr="003964BC">
        <w:tc>
          <w:tcPr>
            <w:tcW w:w="5659" w:type="dxa"/>
            <w:tcBorders>
              <w:bottom w:val="single" w:sz="4" w:space="0" w:color="auto"/>
            </w:tcBorders>
            <w:shd w:val="clear" w:color="auto" w:fill="auto"/>
          </w:tcPr>
          <w:p w:rsidR="002E04DA" w:rsidRPr="00010E9D" w:rsidRDefault="002E04DA" w:rsidP="003964BC">
            <w:pPr>
              <w:pStyle w:val="BodyTextIndent3"/>
              <w:ind w:left="0"/>
              <w:jc w:val="both"/>
              <w:rPr>
                <w:sz w:val="24"/>
                <w:szCs w:val="24"/>
              </w:rPr>
            </w:pPr>
            <w:r>
              <w:rPr>
                <w:sz w:val="24"/>
                <w:szCs w:val="24"/>
              </w:rPr>
              <w:t>Central duties to maintained schools (ESG)</w:t>
            </w:r>
          </w:p>
        </w:tc>
        <w:tc>
          <w:tcPr>
            <w:tcW w:w="1409" w:type="dxa"/>
            <w:tcBorders>
              <w:bottom w:val="single" w:sz="4" w:space="0" w:color="auto"/>
            </w:tcBorders>
          </w:tcPr>
          <w:p w:rsidR="002E04DA" w:rsidRPr="00010E9D" w:rsidRDefault="002E04DA" w:rsidP="003964BC">
            <w:pPr>
              <w:pStyle w:val="BodyTextIndent3"/>
              <w:ind w:left="0"/>
              <w:jc w:val="right"/>
              <w:rPr>
                <w:sz w:val="24"/>
                <w:szCs w:val="24"/>
              </w:rPr>
            </w:pPr>
            <w:r>
              <w:rPr>
                <w:sz w:val="24"/>
                <w:szCs w:val="24"/>
              </w:rPr>
              <w:t>11</w:t>
            </w:r>
          </w:p>
        </w:tc>
        <w:tc>
          <w:tcPr>
            <w:tcW w:w="1276" w:type="dxa"/>
            <w:tcBorders>
              <w:bottom w:val="single" w:sz="4" w:space="0" w:color="auto"/>
            </w:tcBorders>
          </w:tcPr>
          <w:p w:rsidR="002E04DA" w:rsidRPr="00010E9D" w:rsidRDefault="000C420E" w:rsidP="003964BC">
            <w:pPr>
              <w:pStyle w:val="BodyTextIndent3"/>
              <w:ind w:left="0"/>
              <w:jc w:val="right"/>
              <w:rPr>
                <w:sz w:val="24"/>
                <w:szCs w:val="24"/>
              </w:rPr>
            </w:pPr>
            <w:r>
              <w:rPr>
                <w:sz w:val="24"/>
                <w:szCs w:val="24"/>
              </w:rPr>
              <w:t>0</w:t>
            </w:r>
          </w:p>
        </w:tc>
      </w:tr>
      <w:tr w:rsidR="000E6B4D" w:rsidTr="000E6B4D">
        <w:tc>
          <w:tcPr>
            <w:tcW w:w="5659" w:type="dxa"/>
            <w:tcBorders>
              <w:bottom w:val="single" w:sz="4" w:space="0" w:color="auto"/>
            </w:tcBorders>
            <w:shd w:val="clear" w:color="auto" w:fill="auto"/>
          </w:tcPr>
          <w:p w:rsidR="000E6B4D" w:rsidRPr="00010E9D" w:rsidRDefault="000E6B4D" w:rsidP="0031310D">
            <w:pPr>
              <w:pStyle w:val="BodyTextIndent3"/>
              <w:ind w:left="0"/>
              <w:jc w:val="both"/>
              <w:rPr>
                <w:sz w:val="24"/>
                <w:szCs w:val="24"/>
              </w:rPr>
            </w:pPr>
            <w:r w:rsidRPr="00010E9D">
              <w:rPr>
                <w:sz w:val="24"/>
                <w:szCs w:val="24"/>
              </w:rPr>
              <w:t xml:space="preserve">Transfers </w:t>
            </w:r>
            <w:r>
              <w:rPr>
                <w:sz w:val="24"/>
                <w:szCs w:val="24"/>
              </w:rPr>
              <w:t>from</w:t>
            </w:r>
            <w:r w:rsidRPr="00010E9D">
              <w:rPr>
                <w:sz w:val="24"/>
                <w:szCs w:val="24"/>
              </w:rPr>
              <w:t xml:space="preserve"> other blocks</w:t>
            </w:r>
          </w:p>
        </w:tc>
        <w:tc>
          <w:tcPr>
            <w:tcW w:w="1409" w:type="dxa"/>
            <w:tcBorders>
              <w:bottom w:val="single" w:sz="4" w:space="0" w:color="auto"/>
            </w:tcBorders>
          </w:tcPr>
          <w:p w:rsidR="000E6B4D" w:rsidRPr="00010E9D" w:rsidRDefault="002E04DA" w:rsidP="00790189">
            <w:pPr>
              <w:pStyle w:val="BodyTextIndent3"/>
              <w:ind w:left="0"/>
              <w:jc w:val="right"/>
              <w:rPr>
                <w:sz w:val="24"/>
                <w:szCs w:val="24"/>
              </w:rPr>
            </w:pPr>
            <w:r>
              <w:rPr>
                <w:sz w:val="24"/>
                <w:szCs w:val="24"/>
              </w:rPr>
              <w:t>(250)</w:t>
            </w:r>
          </w:p>
        </w:tc>
        <w:tc>
          <w:tcPr>
            <w:tcW w:w="1276" w:type="dxa"/>
            <w:tcBorders>
              <w:bottom w:val="single" w:sz="4" w:space="0" w:color="auto"/>
            </w:tcBorders>
          </w:tcPr>
          <w:p w:rsidR="000E6B4D" w:rsidRPr="00010E9D" w:rsidRDefault="000E6B4D" w:rsidP="009D0FF0">
            <w:pPr>
              <w:pStyle w:val="BodyTextIndent3"/>
              <w:ind w:left="0"/>
              <w:jc w:val="right"/>
              <w:rPr>
                <w:sz w:val="24"/>
                <w:szCs w:val="24"/>
              </w:rPr>
            </w:pPr>
            <w:r>
              <w:rPr>
                <w:sz w:val="24"/>
                <w:szCs w:val="24"/>
              </w:rPr>
              <w:t>(4,115)</w:t>
            </w:r>
          </w:p>
        </w:tc>
      </w:tr>
      <w:tr w:rsidR="000E6B4D" w:rsidRPr="000E6B4D" w:rsidTr="000E6B4D">
        <w:tc>
          <w:tcPr>
            <w:tcW w:w="5659" w:type="dxa"/>
            <w:tcBorders>
              <w:top w:val="single" w:sz="4" w:space="0" w:color="auto"/>
              <w:left w:val="single" w:sz="4" w:space="0" w:color="auto"/>
              <w:bottom w:val="single" w:sz="4" w:space="0" w:color="auto"/>
              <w:right w:val="single" w:sz="4" w:space="0" w:color="auto"/>
            </w:tcBorders>
            <w:shd w:val="clear" w:color="auto" w:fill="00B050"/>
          </w:tcPr>
          <w:p w:rsidR="000E6B4D" w:rsidRPr="000E6B4D" w:rsidRDefault="000E6B4D" w:rsidP="0031310D">
            <w:pPr>
              <w:pStyle w:val="BodyTextIndent3"/>
              <w:ind w:left="0"/>
              <w:jc w:val="both"/>
              <w:rPr>
                <w:b/>
                <w:color w:val="FFFFFF" w:themeColor="background1"/>
                <w:sz w:val="24"/>
                <w:szCs w:val="24"/>
              </w:rPr>
            </w:pPr>
            <w:r w:rsidRPr="000E6B4D">
              <w:rPr>
                <w:b/>
                <w:color w:val="FFFFFF" w:themeColor="background1"/>
                <w:sz w:val="24"/>
                <w:szCs w:val="24"/>
              </w:rPr>
              <w:t>Total Funding</w:t>
            </w:r>
          </w:p>
        </w:tc>
        <w:tc>
          <w:tcPr>
            <w:tcW w:w="1409" w:type="dxa"/>
            <w:tcBorders>
              <w:top w:val="single" w:sz="4" w:space="0" w:color="auto"/>
              <w:left w:val="single" w:sz="4" w:space="0" w:color="auto"/>
              <w:bottom w:val="single" w:sz="4" w:space="0" w:color="auto"/>
              <w:right w:val="single" w:sz="4" w:space="0" w:color="auto"/>
            </w:tcBorders>
            <w:shd w:val="clear" w:color="auto" w:fill="00B050"/>
          </w:tcPr>
          <w:p w:rsidR="000E6B4D" w:rsidRPr="000E6B4D" w:rsidRDefault="002E04DA" w:rsidP="00D246D8">
            <w:pPr>
              <w:pStyle w:val="BodyTextIndent3"/>
              <w:ind w:left="0"/>
              <w:jc w:val="right"/>
              <w:rPr>
                <w:b/>
                <w:color w:val="FFFFFF" w:themeColor="background1"/>
                <w:sz w:val="24"/>
                <w:szCs w:val="24"/>
              </w:rPr>
            </w:pPr>
            <w:r>
              <w:rPr>
                <w:b/>
                <w:color w:val="FFFFFF" w:themeColor="background1"/>
                <w:sz w:val="24"/>
                <w:szCs w:val="24"/>
              </w:rPr>
              <w:t>31,632</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0E6B4D" w:rsidRPr="000E6B4D" w:rsidRDefault="000E6B4D" w:rsidP="009D0FF0">
            <w:pPr>
              <w:pStyle w:val="BodyTextIndent3"/>
              <w:ind w:left="0"/>
              <w:jc w:val="right"/>
              <w:rPr>
                <w:b/>
                <w:color w:val="FFFFFF" w:themeColor="background1"/>
                <w:sz w:val="24"/>
                <w:szCs w:val="24"/>
              </w:rPr>
            </w:pPr>
            <w:r w:rsidRPr="000E6B4D">
              <w:rPr>
                <w:b/>
                <w:color w:val="FFFFFF" w:themeColor="background1"/>
                <w:sz w:val="24"/>
                <w:szCs w:val="24"/>
              </w:rPr>
              <w:t>26,833</w:t>
            </w:r>
          </w:p>
        </w:tc>
      </w:tr>
    </w:tbl>
    <w:p w:rsidR="004311BB" w:rsidRPr="00D6691C" w:rsidRDefault="004311BB" w:rsidP="003A70F8">
      <w:pPr>
        <w:pStyle w:val="Header"/>
        <w:tabs>
          <w:tab w:val="clear" w:pos="4153"/>
          <w:tab w:val="clear" w:pos="8306"/>
        </w:tabs>
      </w:pPr>
    </w:p>
    <w:p w:rsidR="00D6691C" w:rsidRPr="00D02590" w:rsidRDefault="00D6691C" w:rsidP="008D4BA3">
      <w:pPr>
        <w:pStyle w:val="Header"/>
        <w:numPr>
          <w:ilvl w:val="1"/>
          <w:numId w:val="2"/>
        </w:numPr>
        <w:tabs>
          <w:tab w:val="clear" w:pos="4153"/>
          <w:tab w:val="clear" w:pos="8306"/>
        </w:tabs>
        <w:ind w:hanging="720"/>
        <w:rPr>
          <w:b/>
        </w:rPr>
      </w:pPr>
      <w:r w:rsidRPr="004311BB">
        <w:rPr>
          <w:b/>
          <w:szCs w:val="24"/>
        </w:rPr>
        <w:t>Mainstream settings</w:t>
      </w:r>
    </w:p>
    <w:p w:rsidR="00D02590" w:rsidRDefault="00D02590" w:rsidP="00D02590">
      <w:pPr>
        <w:pStyle w:val="Header"/>
        <w:tabs>
          <w:tab w:val="clear" w:pos="4153"/>
          <w:tab w:val="clear" w:pos="8306"/>
        </w:tabs>
        <w:rPr>
          <w:b/>
          <w:szCs w:val="24"/>
        </w:rPr>
      </w:pPr>
    </w:p>
    <w:p w:rsidR="003A70F8" w:rsidRPr="003A70F8" w:rsidRDefault="003F7CD7" w:rsidP="003A70F8">
      <w:pPr>
        <w:pStyle w:val="BodyTextIndent"/>
        <w:numPr>
          <w:ilvl w:val="2"/>
          <w:numId w:val="2"/>
        </w:numPr>
        <w:spacing w:after="0"/>
        <w:rPr>
          <w:rFonts w:ascii="Arial" w:hAnsi="Arial"/>
        </w:rPr>
      </w:pPr>
      <w:r>
        <w:rPr>
          <w:rFonts w:ascii="Arial" w:hAnsi="Arial"/>
        </w:rPr>
        <w:t>S</w:t>
      </w:r>
      <w:r w:rsidR="003A70F8" w:rsidRPr="003A70F8">
        <w:rPr>
          <w:rFonts w:ascii="Arial" w:hAnsi="Arial"/>
        </w:rPr>
        <w:t xml:space="preserve">chools </w:t>
      </w:r>
      <w:r w:rsidR="001D630E">
        <w:rPr>
          <w:rFonts w:ascii="Arial" w:hAnsi="Arial"/>
        </w:rPr>
        <w:t>are</w:t>
      </w:r>
      <w:r w:rsidR="003A70F8" w:rsidRPr="003A70F8">
        <w:rPr>
          <w:rFonts w:ascii="Arial" w:hAnsi="Arial"/>
        </w:rPr>
        <w:t xml:space="preserve"> expected to contribute the first £6,000 of additional educational support for High Needs pupils and students. This additional support is for a provision over and above the standard offer of teaching and learning for all pupils or students in a setting. Pre-16, schools and Academies will continue to receive a clearly identified notional SEN budget from which to make this contribution. Merton will provide this budget for maintained schools while the EFA will provide it for Academies. The notional SEN will comprise three elements as detailed below.</w:t>
      </w:r>
    </w:p>
    <w:p w:rsidR="003A70F8" w:rsidRPr="003A70F8" w:rsidRDefault="003A70F8" w:rsidP="003A70F8">
      <w:pPr>
        <w:pStyle w:val="BodyTextIndent"/>
        <w:ind w:left="709"/>
        <w:rPr>
          <w:rFonts w:ascii="Arial" w:hAnsi="Arial"/>
        </w:rPr>
      </w:pPr>
    </w:p>
    <w:tbl>
      <w:tblPr>
        <w:tblW w:w="83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17"/>
      </w:tblGrid>
      <w:tr w:rsidR="002E04DA" w:rsidRPr="002E04DA" w:rsidTr="002E04DA">
        <w:tc>
          <w:tcPr>
            <w:tcW w:w="6918" w:type="dxa"/>
            <w:shd w:val="clear" w:color="auto" w:fill="00B050"/>
            <w:vAlign w:val="bottom"/>
          </w:tcPr>
          <w:p w:rsidR="001D630E" w:rsidRPr="002E04DA" w:rsidRDefault="001D630E" w:rsidP="00BB5E44">
            <w:pPr>
              <w:pStyle w:val="Footer"/>
              <w:tabs>
                <w:tab w:val="clear" w:pos="4153"/>
                <w:tab w:val="clear" w:pos="8306"/>
              </w:tabs>
              <w:rPr>
                <w:rFonts w:ascii="Arial" w:hAnsi="Arial"/>
                <w:b/>
                <w:color w:val="FFFFFF" w:themeColor="background1"/>
              </w:rPr>
            </w:pPr>
            <w:r w:rsidRPr="002E04DA">
              <w:rPr>
                <w:rFonts w:ascii="Arial" w:hAnsi="Arial"/>
                <w:b/>
                <w:color w:val="FFFFFF" w:themeColor="background1"/>
              </w:rPr>
              <w:t>Formula factor</w:t>
            </w:r>
          </w:p>
        </w:tc>
        <w:tc>
          <w:tcPr>
            <w:tcW w:w="1417" w:type="dxa"/>
            <w:shd w:val="clear" w:color="auto" w:fill="00B050"/>
            <w:vAlign w:val="bottom"/>
          </w:tcPr>
          <w:p w:rsidR="001D630E" w:rsidRPr="002E04DA" w:rsidRDefault="002E04DA" w:rsidP="00BB5E44">
            <w:pPr>
              <w:jc w:val="center"/>
              <w:rPr>
                <w:rFonts w:ascii="Arial" w:hAnsi="Arial"/>
                <w:b/>
                <w:color w:val="FFFFFF" w:themeColor="background1"/>
              </w:rPr>
            </w:pPr>
            <w:r>
              <w:rPr>
                <w:rFonts w:ascii="Arial" w:hAnsi="Arial"/>
                <w:b/>
                <w:color w:val="FFFFFF" w:themeColor="background1"/>
              </w:rPr>
              <w:t>2017</w:t>
            </w:r>
            <w:r w:rsidR="001D630E" w:rsidRPr="002E04DA">
              <w:rPr>
                <w:rFonts w:ascii="Arial" w:hAnsi="Arial"/>
                <w:b/>
                <w:color w:val="FFFFFF" w:themeColor="background1"/>
              </w:rPr>
              <w:t>/1</w:t>
            </w:r>
            <w:r>
              <w:rPr>
                <w:rFonts w:ascii="Arial" w:hAnsi="Arial"/>
                <w:b/>
                <w:color w:val="FFFFFF" w:themeColor="background1"/>
              </w:rPr>
              <w:t>8</w:t>
            </w:r>
          </w:p>
        </w:tc>
      </w:tr>
      <w:tr w:rsidR="001D630E" w:rsidRPr="003A70F8" w:rsidTr="001D630E">
        <w:tc>
          <w:tcPr>
            <w:tcW w:w="6918" w:type="dxa"/>
          </w:tcPr>
          <w:p w:rsidR="001D630E" w:rsidRPr="003A70F8" w:rsidRDefault="001D630E" w:rsidP="00BB5E44">
            <w:pPr>
              <w:rPr>
                <w:rFonts w:ascii="Arial" w:hAnsi="Arial"/>
              </w:rPr>
            </w:pPr>
            <w:r w:rsidRPr="003A70F8">
              <w:rPr>
                <w:rFonts w:ascii="Arial" w:hAnsi="Arial"/>
              </w:rPr>
              <w:t xml:space="preserve">Age Weighted Pupil Allowance (AWPU) </w:t>
            </w:r>
          </w:p>
        </w:tc>
        <w:tc>
          <w:tcPr>
            <w:tcW w:w="1417" w:type="dxa"/>
            <w:vAlign w:val="bottom"/>
          </w:tcPr>
          <w:p w:rsidR="001D630E" w:rsidRPr="003A70F8" w:rsidRDefault="001D630E" w:rsidP="00BB5E44">
            <w:pPr>
              <w:pStyle w:val="Footer"/>
              <w:tabs>
                <w:tab w:val="clear" w:pos="4153"/>
                <w:tab w:val="clear" w:pos="8306"/>
              </w:tabs>
              <w:jc w:val="right"/>
              <w:rPr>
                <w:rFonts w:ascii="Arial" w:hAnsi="Arial"/>
              </w:rPr>
            </w:pPr>
            <w:r w:rsidRPr="003A70F8">
              <w:rPr>
                <w:rFonts w:ascii="Arial" w:hAnsi="Arial"/>
              </w:rPr>
              <w:t>2.5%</w:t>
            </w:r>
          </w:p>
        </w:tc>
      </w:tr>
      <w:tr w:rsidR="001D630E" w:rsidRPr="003A70F8" w:rsidTr="001D630E">
        <w:tc>
          <w:tcPr>
            <w:tcW w:w="6918" w:type="dxa"/>
          </w:tcPr>
          <w:p w:rsidR="001D630E" w:rsidRPr="003A70F8" w:rsidRDefault="001D630E" w:rsidP="00BB5E44">
            <w:pPr>
              <w:rPr>
                <w:rFonts w:ascii="Arial" w:hAnsi="Arial"/>
              </w:rPr>
            </w:pPr>
            <w:r w:rsidRPr="003A70F8">
              <w:rPr>
                <w:rFonts w:ascii="Arial" w:hAnsi="Arial"/>
              </w:rPr>
              <w:t>Deprivation (Free School Meals &amp; IDACI)</w:t>
            </w:r>
          </w:p>
        </w:tc>
        <w:tc>
          <w:tcPr>
            <w:tcW w:w="1417" w:type="dxa"/>
            <w:vAlign w:val="bottom"/>
          </w:tcPr>
          <w:p w:rsidR="001D630E" w:rsidRPr="003A70F8" w:rsidRDefault="001D630E" w:rsidP="00BB5E44">
            <w:pPr>
              <w:pStyle w:val="Footer"/>
              <w:tabs>
                <w:tab w:val="clear" w:pos="4153"/>
                <w:tab w:val="clear" w:pos="8306"/>
              </w:tabs>
              <w:jc w:val="right"/>
              <w:rPr>
                <w:rFonts w:ascii="Arial" w:hAnsi="Arial"/>
              </w:rPr>
            </w:pPr>
            <w:r w:rsidRPr="003A70F8">
              <w:rPr>
                <w:rFonts w:ascii="Arial" w:hAnsi="Arial"/>
              </w:rPr>
              <w:t>10%</w:t>
            </w:r>
          </w:p>
        </w:tc>
      </w:tr>
      <w:tr w:rsidR="001D630E" w:rsidRPr="003A70F8" w:rsidTr="001D630E">
        <w:tc>
          <w:tcPr>
            <w:tcW w:w="6918" w:type="dxa"/>
          </w:tcPr>
          <w:p w:rsidR="001D630E" w:rsidRPr="003A70F8" w:rsidRDefault="001D630E" w:rsidP="00BB5E44">
            <w:pPr>
              <w:rPr>
                <w:rFonts w:ascii="Arial" w:hAnsi="Arial"/>
              </w:rPr>
            </w:pPr>
            <w:r w:rsidRPr="003A70F8">
              <w:rPr>
                <w:rFonts w:ascii="Arial" w:hAnsi="Arial"/>
              </w:rPr>
              <w:t>Low cost, high incidence SEN (Low Attainment)</w:t>
            </w:r>
          </w:p>
        </w:tc>
        <w:tc>
          <w:tcPr>
            <w:tcW w:w="1417" w:type="dxa"/>
            <w:vAlign w:val="bottom"/>
          </w:tcPr>
          <w:p w:rsidR="001D630E" w:rsidRPr="003A70F8" w:rsidRDefault="001D630E" w:rsidP="00BB5E44">
            <w:pPr>
              <w:jc w:val="right"/>
              <w:rPr>
                <w:rFonts w:ascii="Arial" w:hAnsi="Arial"/>
              </w:rPr>
            </w:pPr>
            <w:r w:rsidRPr="003A70F8">
              <w:rPr>
                <w:rFonts w:ascii="Arial" w:hAnsi="Arial"/>
              </w:rPr>
              <w:t>100%</w:t>
            </w:r>
          </w:p>
        </w:tc>
      </w:tr>
    </w:tbl>
    <w:p w:rsidR="003A70F8" w:rsidRPr="003A70F8" w:rsidRDefault="003A70F8" w:rsidP="003A70F8">
      <w:pPr>
        <w:pStyle w:val="BodyTextIndent"/>
        <w:ind w:left="709"/>
        <w:rPr>
          <w:rFonts w:ascii="Arial" w:hAnsi="Arial"/>
        </w:rPr>
      </w:pPr>
    </w:p>
    <w:p w:rsidR="003A70F8" w:rsidRPr="003A70F8" w:rsidRDefault="003A70F8" w:rsidP="003A70F8">
      <w:pPr>
        <w:pStyle w:val="BodyTextIndent"/>
        <w:numPr>
          <w:ilvl w:val="2"/>
          <w:numId w:val="2"/>
        </w:numPr>
        <w:spacing w:after="0"/>
        <w:rPr>
          <w:rFonts w:ascii="Arial" w:hAnsi="Arial"/>
        </w:rPr>
      </w:pPr>
      <w:r w:rsidRPr="003A70F8">
        <w:rPr>
          <w:rFonts w:ascii="Arial" w:hAnsi="Arial"/>
        </w:rPr>
        <w:t xml:space="preserve">The notional SEN budget should be used to support pupils with low cost, high incidence SEN as well as the first £6,000 support for pupils with </w:t>
      </w:r>
      <w:r w:rsidR="002711A6">
        <w:rPr>
          <w:rFonts w:ascii="Arial" w:hAnsi="Arial"/>
        </w:rPr>
        <w:t>statements.</w:t>
      </w:r>
    </w:p>
    <w:p w:rsidR="003A70F8" w:rsidRPr="003A70F8" w:rsidRDefault="003A70F8" w:rsidP="003A70F8">
      <w:pPr>
        <w:pStyle w:val="BodyTextIndent"/>
        <w:spacing w:after="0"/>
        <w:ind w:left="0"/>
        <w:rPr>
          <w:rFonts w:ascii="Arial" w:hAnsi="Arial"/>
        </w:rPr>
      </w:pPr>
    </w:p>
    <w:p w:rsidR="003A70F8" w:rsidRDefault="003A70F8" w:rsidP="003A70F8">
      <w:pPr>
        <w:pStyle w:val="BodyTextIndent"/>
        <w:numPr>
          <w:ilvl w:val="2"/>
          <w:numId w:val="2"/>
        </w:numPr>
        <w:spacing w:after="0"/>
        <w:rPr>
          <w:rFonts w:ascii="Arial" w:hAnsi="Arial"/>
        </w:rPr>
      </w:pPr>
      <w:r w:rsidRPr="003A70F8">
        <w:rPr>
          <w:rFonts w:ascii="Arial" w:hAnsi="Arial"/>
        </w:rPr>
        <w:t xml:space="preserve">The notional allocation is only a guide and schools are expected to set their budgets in such a way to meet the needs of all their pupils, including those with additional needs, within the resources they receive. </w:t>
      </w:r>
    </w:p>
    <w:p w:rsidR="003A70F8" w:rsidRDefault="003A70F8" w:rsidP="003A70F8">
      <w:pPr>
        <w:pStyle w:val="BodyTextIndent"/>
        <w:spacing w:after="0"/>
        <w:ind w:left="0"/>
        <w:rPr>
          <w:rFonts w:ascii="Arial" w:hAnsi="Arial"/>
        </w:rPr>
      </w:pPr>
    </w:p>
    <w:p w:rsidR="003A70F8" w:rsidRDefault="003A70F8" w:rsidP="003F7CD7">
      <w:pPr>
        <w:pStyle w:val="BodyTextIndent"/>
        <w:numPr>
          <w:ilvl w:val="2"/>
          <w:numId w:val="2"/>
        </w:numPr>
        <w:spacing w:after="0"/>
        <w:rPr>
          <w:rFonts w:ascii="Arial" w:hAnsi="Arial"/>
        </w:rPr>
      </w:pPr>
      <w:r w:rsidRPr="003A70F8">
        <w:rPr>
          <w:rFonts w:ascii="Arial" w:hAnsi="Arial"/>
        </w:rPr>
        <w:t xml:space="preserve">Where schools have a high number of SEN students, the allocation to support these pupils through the schools formula might not be sufficient. </w:t>
      </w:r>
      <w:r w:rsidR="003F7CD7" w:rsidRPr="003F7CD7">
        <w:rPr>
          <w:rFonts w:ascii="Arial" w:hAnsi="Arial"/>
        </w:rPr>
        <w:t>Funding will be set aside in the High Needs Block to support such schools.</w:t>
      </w:r>
      <w:r w:rsidR="003F7CD7">
        <w:rPr>
          <w:rFonts w:ascii="Arial" w:hAnsi="Arial"/>
        </w:rPr>
        <w:t xml:space="preserve"> </w:t>
      </w:r>
      <w:r w:rsidR="003F7CD7" w:rsidRPr="003F7CD7">
        <w:rPr>
          <w:rFonts w:ascii="Arial" w:hAnsi="Arial"/>
        </w:rPr>
        <w:t>If more than 2.5% o</w:t>
      </w:r>
      <w:r w:rsidR="003F7CD7">
        <w:rPr>
          <w:rFonts w:ascii="Arial" w:hAnsi="Arial"/>
        </w:rPr>
        <w:t>f a school's NOR are</w:t>
      </w:r>
      <w:r w:rsidR="003F7CD7" w:rsidRPr="003F7CD7">
        <w:rPr>
          <w:rFonts w:ascii="Arial" w:hAnsi="Arial"/>
        </w:rPr>
        <w:t xml:space="preserve"> pupils</w:t>
      </w:r>
      <w:r w:rsidR="003F7CD7">
        <w:rPr>
          <w:rFonts w:ascii="Arial" w:hAnsi="Arial"/>
        </w:rPr>
        <w:t xml:space="preserve"> with statements</w:t>
      </w:r>
      <w:r w:rsidR="003F7CD7" w:rsidRPr="003F7CD7">
        <w:rPr>
          <w:rFonts w:ascii="Arial" w:hAnsi="Arial"/>
        </w:rPr>
        <w:t>, the excess percentage will be multiplied by the school's NOR and multiplied by £6,000 to calculate additional support for the school.</w:t>
      </w:r>
    </w:p>
    <w:p w:rsidR="002711A6" w:rsidRDefault="002711A6" w:rsidP="003F7CD7">
      <w:pPr>
        <w:pStyle w:val="ListParagraph"/>
        <w:rPr>
          <w:rFonts w:ascii="Arial" w:hAnsi="Arial"/>
        </w:rPr>
      </w:pPr>
    </w:p>
    <w:p w:rsidR="005B5A42" w:rsidRDefault="005B5A42" w:rsidP="003F7CD7">
      <w:pPr>
        <w:pStyle w:val="ListParagraph"/>
        <w:rPr>
          <w:rFonts w:ascii="Arial" w:hAnsi="Arial"/>
        </w:rPr>
      </w:pPr>
    </w:p>
    <w:p w:rsidR="005A3B8A" w:rsidRDefault="005A3B8A" w:rsidP="003F7CD7">
      <w:pPr>
        <w:pStyle w:val="ListParagraph"/>
        <w:rPr>
          <w:rFonts w:ascii="Arial" w:hAnsi="Arial"/>
        </w:rPr>
      </w:pPr>
    </w:p>
    <w:p w:rsidR="005B5A42" w:rsidRDefault="005B5A42" w:rsidP="003F7CD7">
      <w:pPr>
        <w:pStyle w:val="ListParagraph"/>
        <w:rPr>
          <w:rFonts w:ascii="Arial" w:hAnsi="Arial"/>
        </w:rPr>
      </w:pPr>
    </w:p>
    <w:p w:rsidR="003F7CD7" w:rsidRDefault="003F7CD7" w:rsidP="003F7CD7">
      <w:pPr>
        <w:pStyle w:val="BodyTextIndent"/>
        <w:spacing w:after="0"/>
        <w:ind w:left="720"/>
        <w:rPr>
          <w:rFonts w:ascii="Arial" w:hAnsi="Arial"/>
        </w:rPr>
      </w:pPr>
      <w:r>
        <w:rPr>
          <w:rFonts w:ascii="Arial" w:hAnsi="Arial"/>
        </w:rPr>
        <w:t>Example</w:t>
      </w:r>
    </w:p>
    <w:tbl>
      <w:tblPr>
        <w:tblW w:w="83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17"/>
      </w:tblGrid>
      <w:tr w:rsidR="003F7CD7" w:rsidRPr="003A70F8" w:rsidTr="003F7CD7">
        <w:tc>
          <w:tcPr>
            <w:tcW w:w="6918" w:type="dxa"/>
            <w:shd w:val="clear" w:color="auto" w:fill="auto"/>
            <w:vAlign w:val="bottom"/>
          </w:tcPr>
          <w:p w:rsidR="003F7CD7" w:rsidRPr="003A70F8" w:rsidRDefault="003F7CD7" w:rsidP="003F7CD7">
            <w:pPr>
              <w:pStyle w:val="Footer"/>
              <w:tabs>
                <w:tab w:val="clear" w:pos="4153"/>
                <w:tab w:val="clear" w:pos="8306"/>
              </w:tabs>
              <w:rPr>
                <w:rFonts w:ascii="Arial" w:hAnsi="Arial"/>
              </w:rPr>
            </w:pPr>
            <w:r w:rsidRPr="003F7CD7">
              <w:rPr>
                <w:rFonts w:ascii="Arial" w:hAnsi="Arial"/>
              </w:rPr>
              <w:lastRenderedPageBreak/>
              <w:t>9 pupils as a percentage of 186</w:t>
            </w:r>
          </w:p>
        </w:tc>
        <w:tc>
          <w:tcPr>
            <w:tcW w:w="1417" w:type="dxa"/>
            <w:shd w:val="clear" w:color="auto" w:fill="auto"/>
            <w:vAlign w:val="bottom"/>
          </w:tcPr>
          <w:p w:rsidR="003F7CD7" w:rsidRPr="003A70F8" w:rsidRDefault="003F7CD7" w:rsidP="003F7CD7">
            <w:pPr>
              <w:jc w:val="center"/>
              <w:rPr>
                <w:rFonts w:ascii="Arial" w:hAnsi="Arial"/>
              </w:rPr>
            </w:pPr>
            <w:r>
              <w:rPr>
                <w:rFonts w:ascii="Arial" w:hAnsi="Arial"/>
              </w:rPr>
              <w:t>4.84%</w:t>
            </w:r>
          </w:p>
        </w:tc>
      </w:tr>
      <w:tr w:rsidR="003F7CD7" w:rsidRPr="003A70F8" w:rsidTr="003F7CD7">
        <w:tc>
          <w:tcPr>
            <w:tcW w:w="6918" w:type="dxa"/>
          </w:tcPr>
          <w:p w:rsidR="003F7CD7" w:rsidRPr="003A70F8" w:rsidRDefault="003F7CD7" w:rsidP="003F7CD7">
            <w:pPr>
              <w:rPr>
                <w:rFonts w:ascii="Arial" w:hAnsi="Arial"/>
              </w:rPr>
            </w:pPr>
            <w:r>
              <w:rPr>
                <w:rFonts w:ascii="Arial" w:hAnsi="Arial"/>
              </w:rPr>
              <w:t>Less 2.5% threshold</w:t>
            </w:r>
          </w:p>
        </w:tc>
        <w:tc>
          <w:tcPr>
            <w:tcW w:w="1417" w:type="dxa"/>
            <w:vAlign w:val="bottom"/>
          </w:tcPr>
          <w:p w:rsidR="003F7CD7" w:rsidRPr="003A70F8" w:rsidRDefault="003F7CD7" w:rsidP="003F7CD7">
            <w:pPr>
              <w:pStyle w:val="Footer"/>
              <w:tabs>
                <w:tab w:val="clear" w:pos="4153"/>
                <w:tab w:val="clear" w:pos="8306"/>
              </w:tabs>
              <w:jc w:val="center"/>
              <w:rPr>
                <w:rFonts w:ascii="Arial" w:hAnsi="Arial"/>
              </w:rPr>
            </w:pPr>
            <w:r>
              <w:rPr>
                <w:rFonts w:ascii="Arial" w:hAnsi="Arial"/>
              </w:rPr>
              <w:t>2.34%</w:t>
            </w:r>
          </w:p>
        </w:tc>
      </w:tr>
      <w:tr w:rsidR="003F7CD7" w:rsidRPr="003A70F8" w:rsidTr="003F7CD7">
        <w:tc>
          <w:tcPr>
            <w:tcW w:w="6918" w:type="dxa"/>
          </w:tcPr>
          <w:p w:rsidR="003F7CD7" w:rsidRPr="003A70F8" w:rsidRDefault="003F7CD7" w:rsidP="003F7CD7">
            <w:pPr>
              <w:rPr>
                <w:rFonts w:ascii="Arial" w:hAnsi="Arial"/>
              </w:rPr>
            </w:pPr>
            <w:r>
              <w:rPr>
                <w:rFonts w:ascii="Arial" w:hAnsi="Arial"/>
              </w:rPr>
              <w:t>186 x 2.34%</w:t>
            </w:r>
          </w:p>
        </w:tc>
        <w:tc>
          <w:tcPr>
            <w:tcW w:w="1417" w:type="dxa"/>
            <w:vAlign w:val="bottom"/>
          </w:tcPr>
          <w:p w:rsidR="003F7CD7" w:rsidRPr="003A70F8" w:rsidRDefault="003F7CD7" w:rsidP="003F7CD7">
            <w:pPr>
              <w:pStyle w:val="Footer"/>
              <w:tabs>
                <w:tab w:val="clear" w:pos="4153"/>
                <w:tab w:val="clear" w:pos="8306"/>
              </w:tabs>
              <w:jc w:val="center"/>
              <w:rPr>
                <w:rFonts w:ascii="Arial" w:hAnsi="Arial"/>
              </w:rPr>
            </w:pPr>
            <w:r>
              <w:rPr>
                <w:rFonts w:ascii="Arial" w:hAnsi="Arial"/>
              </w:rPr>
              <w:t>4.35 pupils</w:t>
            </w:r>
          </w:p>
        </w:tc>
      </w:tr>
      <w:tr w:rsidR="003F7CD7" w:rsidRPr="003A70F8" w:rsidTr="003F7CD7">
        <w:tc>
          <w:tcPr>
            <w:tcW w:w="6918" w:type="dxa"/>
          </w:tcPr>
          <w:p w:rsidR="003F7CD7" w:rsidRPr="003A70F8" w:rsidRDefault="003F7CD7" w:rsidP="003F7CD7">
            <w:pPr>
              <w:rPr>
                <w:rFonts w:ascii="Arial" w:hAnsi="Arial"/>
              </w:rPr>
            </w:pPr>
            <w:r>
              <w:rPr>
                <w:rFonts w:ascii="Arial" w:hAnsi="Arial"/>
              </w:rPr>
              <w:t>4.35 pupils x £6,000</w:t>
            </w:r>
          </w:p>
        </w:tc>
        <w:tc>
          <w:tcPr>
            <w:tcW w:w="1417" w:type="dxa"/>
            <w:vAlign w:val="bottom"/>
          </w:tcPr>
          <w:p w:rsidR="003F7CD7" w:rsidRPr="003A70F8" w:rsidRDefault="003F7CD7" w:rsidP="003F7CD7">
            <w:pPr>
              <w:jc w:val="center"/>
              <w:rPr>
                <w:rFonts w:ascii="Arial" w:hAnsi="Arial"/>
              </w:rPr>
            </w:pPr>
            <w:r>
              <w:rPr>
                <w:rFonts w:ascii="Arial" w:hAnsi="Arial"/>
              </w:rPr>
              <w:t>£26,100</w:t>
            </w:r>
          </w:p>
        </w:tc>
      </w:tr>
    </w:tbl>
    <w:p w:rsidR="003F7CD7" w:rsidRDefault="003F7CD7" w:rsidP="003F7CD7">
      <w:pPr>
        <w:pStyle w:val="ListParagraph"/>
        <w:rPr>
          <w:rFonts w:ascii="Arial" w:hAnsi="Arial"/>
        </w:rPr>
      </w:pPr>
    </w:p>
    <w:p w:rsidR="001D630E" w:rsidRDefault="00220FD9" w:rsidP="003F7CD7">
      <w:pPr>
        <w:pStyle w:val="ListParagraph"/>
        <w:rPr>
          <w:rFonts w:ascii="Arial" w:hAnsi="Arial"/>
        </w:rPr>
      </w:pPr>
      <w:r>
        <w:rPr>
          <w:rFonts w:ascii="Arial" w:hAnsi="Arial"/>
        </w:rPr>
        <w:t>In 2017/18</w:t>
      </w:r>
      <w:r w:rsidR="001D630E">
        <w:rPr>
          <w:rFonts w:ascii="Arial" w:hAnsi="Arial"/>
        </w:rPr>
        <w:t xml:space="preserve"> £</w:t>
      </w:r>
      <w:r w:rsidR="00552926">
        <w:rPr>
          <w:rFonts w:ascii="Arial" w:hAnsi="Arial"/>
        </w:rPr>
        <w:t>2</w:t>
      </w:r>
      <w:r>
        <w:rPr>
          <w:rFonts w:ascii="Arial" w:hAnsi="Arial"/>
        </w:rPr>
        <w:t>67</w:t>
      </w:r>
      <w:r w:rsidR="00552926">
        <w:rPr>
          <w:rFonts w:ascii="Arial" w:hAnsi="Arial"/>
        </w:rPr>
        <w:t xml:space="preserve">k will be </w:t>
      </w:r>
      <w:r w:rsidR="001D630E">
        <w:rPr>
          <w:rFonts w:ascii="Arial" w:hAnsi="Arial"/>
        </w:rPr>
        <w:t>allocated to schools through this mechanism</w:t>
      </w:r>
      <w:r w:rsidR="00552926">
        <w:rPr>
          <w:rFonts w:ascii="Arial" w:hAnsi="Arial"/>
        </w:rPr>
        <w:t>.</w:t>
      </w:r>
    </w:p>
    <w:p w:rsidR="001D630E" w:rsidRDefault="001D630E" w:rsidP="003F7CD7">
      <w:pPr>
        <w:pStyle w:val="ListParagraph"/>
        <w:rPr>
          <w:rFonts w:ascii="Arial" w:hAnsi="Arial"/>
        </w:rPr>
      </w:pPr>
    </w:p>
    <w:p w:rsidR="003F7CD7" w:rsidRDefault="003F7CD7" w:rsidP="003F7CD7">
      <w:pPr>
        <w:pStyle w:val="BodyTextIndent"/>
        <w:numPr>
          <w:ilvl w:val="2"/>
          <w:numId w:val="2"/>
        </w:numPr>
        <w:spacing w:after="0"/>
        <w:rPr>
          <w:rFonts w:ascii="Arial" w:hAnsi="Arial"/>
        </w:rPr>
      </w:pPr>
      <w:r w:rsidRPr="003F7CD7">
        <w:rPr>
          <w:rFonts w:ascii="Arial" w:hAnsi="Arial"/>
        </w:rPr>
        <w:t>The NOR will be based on the October count and the numbers of SEN statements will be based on the numbers as per the October SEN statement payment to schools. The number of statements used will exclude pupils funded in special units.</w:t>
      </w:r>
    </w:p>
    <w:p w:rsidR="003A70F8" w:rsidRDefault="003A70F8" w:rsidP="003A70F8">
      <w:pPr>
        <w:pStyle w:val="BodyTextIndent"/>
        <w:spacing w:after="0"/>
        <w:ind w:left="0"/>
        <w:rPr>
          <w:rFonts w:ascii="Arial" w:hAnsi="Arial"/>
        </w:rPr>
      </w:pPr>
    </w:p>
    <w:p w:rsidR="005B3CB7" w:rsidRDefault="005B5A42" w:rsidP="005B3CB7">
      <w:pPr>
        <w:pStyle w:val="BodyTextIndent"/>
        <w:numPr>
          <w:ilvl w:val="2"/>
          <w:numId w:val="2"/>
        </w:numPr>
        <w:spacing w:after="0"/>
        <w:rPr>
          <w:rFonts w:ascii="Arial" w:hAnsi="Arial"/>
        </w:rPr>
      </w:pPr>
      <w:r>
        <w:rPr>
          <w:rFonts w:ascii="Arial" w:hAnsi="Arial"/>
        </w:rPr>
        <w:t>Merton</w:t>
      </w:r>
      <w:r w:rsidR="001A4F86">
        <w:rPr>
          <w:rFonts w:ascii="Arial" w:hAnsi="Arial"/>
        </w:rPr>
        <w:t xml:space="preserve">’s </w:t>
      </w:r>
      <w:r>
        <w:rPr>
          <w:rFonts w:ascii="Arial" w:hAnsi="Arial"/>
        </w:rPr>
        <w:t xml:space="preserve">statement funding </w:t>
      </w:r>
      <w:r w:rsidR="001A4F86">
        <w:rPr>
          <w:rFonts w:ascii="Arial" w:hAnsi="Arial"/>
        </w:rPr>
        <w:t xml:space="preserve">will remain at the same levels as in </w:t>
      </w:r>
      <w:r w:rsidR="00220FD9">
        <w:rPr>
          <w:rFonts w:ascii="Arial" w:hAnsi="Arial"/>
        </w:rPr>
        <w:t>2016/17</w:t>
      </w:r>
      <w:r>
        <w:rPr>
          <w:rFonts w:ascii="Arial" w:hAnsi="Arial"/>
        </w:rPr>
        <w:t xml:space="preserve"> </w:t>
      </w:r>
      <w:r w:rsidR="001A4F86">
        <w:rPr>
          <w:rFonts w:ascii="Arial" w:hAnsi="Arial"/>
        </w:rPr>
        <w:t xml:space="preserve">and is detailed in the </w:t>
      </w:r>
      <w:r>
        <w:rPr>
          <w:rFonts w:ascii="Arial" w:hAnsi="Arial"/>
        </w:rPr>
        <w:t>table below.</w:t>
      </w:r>
    </w:p>
    <w:p w:rsidR="005B5A42" w:rsidRDefault="005B5A42" w:rsidP="005B5A42">
      <w:pPr>
        <w:pStyle w:val="BodyTextIndent"/>
        <w:spacing w:after="0"/>
        <w:ind w:left="0"/>
        <w:rPr>
          <w:rFonts w:ascii="Arial" w:hAnsi="Arial"/>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701"/>
        <w:gridCol w:w="1701"/>
        <w:gridCol w:w="1701"/>
        <w:gridCol w:w="1701"/>
      </w:tblGrid>
      <w:tr w:rsidR="00220FD9" w:rsidRPr="00220FD9" w:rsidTr="00220FD9">
        <w:tc>
          <w:tcPr>
            <w:tcW w:w="1276" w:type="dxa"/>
            <w:tcBorders>
              <w:bottom w:val="nil"/>
            </w:tcBorders>
            <w:shd w:val="clear" w:color="auto" w:fill="00B050"/>
            <w:vAlign w:val="bottom"/>
          </w:tcPr>
          <w:p w:rsidR="001A4F86" w:rsidRPr="00220FD9" w:rsidRDefault="001A4F86" w:rsidP="001A4F86">
            <w:pPr>
              <w:pStyle w:val="Footer"/>
              <w:tabs>
                <w:tab w:val="clear" w:pos="4153"/>
                <w:tab w:val="clear" w:pos="8306"/>
              </w:tabs>
              <w:rPr>
                <w:rFonts w:ascii="Arial" w:hAnsi="Arial" w:cs="Arial"/>
                <w:b/>
                <w:bCs/>
                <w:color w:val="FFFFFF" w:themeColor="background1"/>
                <w:szCs w:val="22"/>
              </w:rPr>
            </w:pPr>
          </w:p>
        </w:tc>
        <w:tc>
          <w:tcPr>
            <w:tcW w:w="1701" w:type="dxa"/>
            <w:tcBorders>
              <w:bottom w:val="single" w:sz="4" w:space="0" w:color="auto"/>
              <w:right w:val="nil"/>
            </w:tcBorders>
            <w:shd w:val="clear" w:color="auto" w:fill="00B050"/>
            <w:vAlign w:val="bottom"/>
          </w:tcPr>
          <w:p w:rsidR="001A4F86" w:rsidRPr="00220FD9" w:rsidRDefault="001A4F86" w:rsidP="001A4F86">
            <w:pPr>
              <w:jc w:val="right"/>
              <w:rPr>
                <w:rFonts w:ascii="Arial" w:hAnsi="Arial" w:cs="Arial"/>
                <w:b/>
                <w:bCs/>
                <w:color w:val="FFFFFF" w:themeColor="background1"/>
                <w:szCs w:val="22"/>
              </w:rPr>
            </w:pPr>
            <w:r w:rsidRPr="00220FD9">
              <w:rPr>
                <w:rFonts w:ascii="Arial" w:hAnsi="Arial" w:cs="Arial"/>
                <w:b/>
                <w:bCs/>
                <w:color w:val="FFFFFF" w:themeColor="background1"/>
                <w:szCs w:val="22"/>
              </w:rPr>
              <w:t xml:space="preserve">Reception </w:t>
            </w:r>
          </w:p>
        </w:tc>
        <w:tc>
          <w:tcPr>
            <w:tcW w:w="1701" w:type="dxa"/>
            <w:tcBorders>
              <w:left w:val="nil"/>
              <w:bottom w:val="single" w:sz="4" w:space="0" w:color="auto"/>
            </w:tcBorders>
            <w:shd w:val="clear" w:color="auto" w:fill="00B050"/>
            <w:vAlign w:val="bottom"/>
          </w:tcPr>
          <w:p w:rsidR="001A4F86" w:rsidRPr="00220FD9" w:rsidRDefault="001A4F86" w:rsidP="001A4F86">
            <w:pPr>
              <w:ind w:left="-108"/>
              <w:rPr>
                <w:rFonts w:ascii="Arial" w:hAnsi="Arial" w:cs="Arial"/>
                <w:b/>
                <w:bCs/>
                <w:color w:val="FFFFFF" w:themeColor="background1"/>
                <w:szCs w:val="22"/>
              </w:rPr>
            </w:pPr>
            <w:r w:rsidRPr="00220FD9">
              <w:rPr>
                <w:rFonts w:ascii="Arial" w:hAnsi="Arial" w:cs="Arial"/>
                <w:b/>
                <w:bCs/>
                <w:color w:val="FFFFFF" w:themeColor="background1"/>
                <w:szCs w:val="22"/>
              </w:rPr>
              <w:t>onwards</w:t>
            </w:r>
          </w:p>
        </w:tc>
        <w:tc>
          <w:tcPr>
            <w:tcW w:w="1701" w:type="dxa"/>
            <w:tcBorders>
              <w:bottom w:val="single" w:sz="4" w:space="0" w:color="auto"/>
              <w:right w:val="nil"/>
            </w:tcBorders>
            <w:shd w:val="clear" w:color="auto" w:fill="00B050"/>
            <w:vAlign w:val="bottom"/>
          </w:tcPr>
          <w:p w:rsidR="001A4F86" w:rsidRPr="00220FD9" w:rsidRDefault="001A4F86" w:rsidP="001A4F86">
            <w:pPr>
              <w:jc w:val="right"/>
              <w:rPr>
                <w:rFonts w:ascii="Arial" w:hAnsi="Arial" w:cs="Arial"/>
                <w:b/>
                <w:bCs/>
                <w:color w:val="FFFFFF" w:themeColor="background1"/>
                <w:szCs w:val="22"/>
              </w:rPr>
            </w:pPr>
            <w:r w:rsidRPr="00220FD9">
              <w:rPr>
                <w:rFonts w:ascii="Arial" w:hAnsi="Arial" w:cs="Arial"/>
                <w:b/>
                <w:bCs/>
                <w:color w:val="FFFFFF" w:themeColor="background1"/>
                <w:szCs w:val="22"/>
              </w:rPr>
              <w:t>2, 3 and 4</w:t>
            </w:r>
          </w:p>
        </w:tc>
        <w:tc>
          <w:tcPr>
            <w:tcW w:w="1701" w:type="dxa"/>
            <w:tcBorders>
              <w:left w:val="nil"/>
              <w:bottom w:val="single" w:sz="4" w:space="0" w:color="auto"/>
            </w:tcBorders>
            <w:shd w:val="clear" w:color="auto" w:fill="00B050"/>
            <w:vAlign w:val="bottom"/>
          </w:tcPr>
          <w:p w:rsidR="001A4F86" w:rsidRPr="00220FD9" w:rsidRDefault="001A4F86" w:rsidP="001A4F86">
            <w:pPr>
              <w:ind w:left="-108"/>
              <w:rPr>
                <w:rFonts w:ascii="Arial" w:hAnsi="Arial" w:cs="Arial"/>
                <w:b/>
                <w:bCs/>
                <w:color w:val="FFFFFF" w:themeColor="background1"/>
                <w:szCs w:val="22"/>
              </w:rPr>
            </w:pPr>
            <w:r w:rsidRPr="00220FD9">
              <w:rPr>
                <w:rFonts w:ascii="Arial" w:hAnsi="Arial" w:cs="Arial"/>
                <w:b/>
                <w:bCs/>
                <w:color w:val="FFFFFF" w:themeColor="background1"/>
                <w:szCs w:val="22"/>
              </w:rPr>
              <w:t>year olds</w:t>
            </w:r>
          </w:p>
        </w:tc>
      </w:tr>
      <w:tr w:rsidR="00220FD9" w:rsidRPr="00220FD9" w:rsidTr="00220FD9">
        <w:tc>
          <w:tcPr>
            <w:tcW w:w="1276" w:type="dxa"/>
            <w:tcBorders>
              <w:top w:val="nil"/>
            </w:tcBorders>
            <w:shd w:val="clear" w:color="auto" w:fill="00B050"/>
            <w:vAlign w:val="bottom"/>
          </w:tcPr>
          <w:p w:rsidR="00AB3FF6" w:rsidRPr="00220FD9" w:rsidRDefault="00AB3FF6" w:rsidP="005B5A42">
            <w:pPr>
              <w:pStyle w:val="Footer"/>
              <w:tabs>
                <w:tab w:val="clear" w:pos="4153"/>
                <w:tab w:val="clear" w:pos="8306"/>
              </w:tabs>
              <w:rPr>
                <w:rFonts w:ascii="Arial" w:hAnsi="Arial" w:cs="Arial"/>
                <w:b/>
                <w:bCs/>
                <w:color w:val="FFFFFF" w:themeColor="background1"/>
                <w:szCs w:val="22"/>
              </w:rPr>
            </w:pPr>
            <w:r w:rsidRPr="00220FD9">
              <w:rPr>
                <w:rFonts w:ascii="Arial" w:hAnsi="Arial" w:cs="Arial"/>
                <w:b/>
                <w:bCs/>
                <w:color w:val="FFFFFF" w:themeColor="background1"/>
                <w:szCs w:val="22"/>
              </w:rPr>
              <w:t>Band</w:t>
            </w:r>
          </w:p>
        </w:tc>
        <w:tc>
          <w:tcPr>
            <w:tcW w:w="1701" w:type="dxa"/>
            <w:tcBorders>
              <w:top w:val="single" w:sz="4" w:space="0" w:color="auto"/>
            </w:tcBorders>
            <w:shd w:val="clear" w:color="auto" w:fill="00B050"/>
            <w:vAlign w:val="bottom"/>
          </w:tcPr>
          <w:p w:rsidR="00AB3FF6" w:rsidRPr="00220FD9" w:rsidRDefault="00AB3FF6" w:rsidP="00220FD9">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220FD9" w:rsidRPr="00220FD9">
              <w:rPr>
                <w:rFonts w:ascii="Arial" w:hAnsi="Arial" w:cs="Arial"/>
                <w:b/>
                <w:bCs/>
                <w:color w:val="FFFFFF" w:themeColor="background1"/>
                <w:szCs w:val="22"/>
              </w:rPr>
              <w:t>7</w:t>
            </w:r>
            <w:r w:rsidRPr="00220FD9">
              <w:rPr>
                <w:rFonts w:ascii="Arial" w:hAnsi="Arial" w:cs="Arial"/>
                <w:b/>
                <w:bCs/>
                <w:color w:val="FFFFFF" w:themeColor="background1"/>
                <w:szCs w:val="22"/>
              </w:rPr>
              <w:t>/1</w:t>
            </w:r>
            <w:r w:rsidR="00220FD9" w:rsidRPr="00220FD9">
              <w:rPr>
                <w:rFonts w:ascii="Arial" w:hAnsi="Arial" w:cs="Arial"/>
                <w:b/>
                <w:bCs/>
                <w:color w:val="FFFFFF" w:themeColor="background1"/>
                <w:szCs w:val="22"/>
              </w:rPr>
              <w:t>8</w:t>
            </w:r>
          </w:p>
        </w:tc>
        <w:tc>
          <w:tcPr>
            <w:tcW w:w="1701" w:type="dxa"/>
            <w:tcBorders>
              <w:top w:val="single" w:sz="4" w:space="0" w:color="auto"/>
            </w:tcBorders>
            <w:shd w:val="clear" w:color="auto" w:fill="00B050"/>
            <w:vAlign w:val="bottom"/>
          </w:tcPr>
          <w:p w:rsidR="00AB3FF6" w:rsidRPr="00220FD9" w:rsidRDefault="00220FD9" w:rsidP="001A4F86">
            <w:pPr>
              <w:jc w:val="center"/>
              <w:rPr>
                <w:rFonts w:ascii="Arial" w:hAnsi="Arial" w:cs="Arial"/>
                <w:b/>
                <w:bCs/>
                <w:color w:val="FFFFFF" w:themeColor="background1"/>
                <w:szCs w:val="22"/>
              </w:rPr>
            </w:pPr>
            <w:r w:rsidRPr="00220FD9">
              <w:rPr>
                <w:rFonts w:ascii="Arial" w:hAnsi="Arial" w:cs="Arial"/>
                <w:b/>
                <w:bCs/>
                <w:color w:val="FFFFFF" w:themeColor="background1"/>
                <w:szCs w:val="22"/>
              </w:rPr>
              <w:t>2016/17</w:t>
            </w:r>
          </w:p>
        </w:tc>
        <w:tc>
          <w:tcPr>
            <w:tcW w:w="1701" w:type="dxa"/>
            <w:tcBorders>
              <w:top w:val="single" w:sz="4" w:space="0" w:color="auto"/>
            </w:tcBorders>
            <w:shd w:val="clear" w:color="auto" w:fill="00B050"/>
            <w:vAlign w:val="bottom"/>
          </w:tcPr>
          <w:p w:rsidR="00AB3FF6" w:rsidRPr="00220FD9" w:rsidRDefault="00AB3FF6" w:rsidP="00220FD9">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220FD9" w:rsidRPr="00220FD9">
              <w:rPr>
                <w:rFonts w:ascii="Arial" w:hAnsi="Arial" w:cs="Arial"/>
                <w:b/>
                <w:bCs/>
                <w:color w:val="FFFFFF" w:themeColor="background1"/>
                <w:szCs w:val="22"/>
              </w:rPr>
              <w:t>7</w:t>
            </w:r>
            <w:r w:rsidRPr="00220FD9">
              <w:rPr>
                <w:rFonts w:ascii="Arial" w:hAnsi="Arial" w:cs="Arial"/>
                <w:b/>
                <w:bCs/>
                <w:color w:val="FFFFFF" w:themeColor="background1"/>
                <w:szCs w:val="22"/>
              </w:rPr>
              <w:t>/1</w:t>
            </w:r>
            <w:r w:rsidR="00220FD9" w:rsidRPr="00220FD9">
              <w:rPr>
                <w:rFonts w:ascii="Arial" w:hAnsi="Arial" w:cs="Arial"/>
                <w:b/>
                <w:bCs/>
                <w:color w:val="FFFFFF" w:themeColor="background1"/>
                <w:szCs w:val="22"/>
              </w:rPr>
              <w:t>8</w:t>
            </w:r>
          </w:p>
        </w:tc>
        <w:tc>
          <w:tcPr>
            <w:tcW w:w="1701" w:type="dxa"/>
            <w:tcBorders>
              <w:top w:val="single" w:sz="4" w:space="0" w:color="auto"/>
            </w:tcBorders>
            <w:shd w:val="clear" w:color="auto" w:fill="00B050"/>
            <w:vAlign w:val="bottom"/>
          </w:tcPr>
          <w:p w:rsidR="00AB3FF6" w:rsidRPr="00220FD9" w:rsidRDefault="00220FD9" w:rsidP="00A3304E">
            <w:pPr>
              <w:jc w:val="center"/>
              <w:rPr>
                <w:rFonts w:ascii="Arial" w:hAnsi="Arial" w:cs="Arial"/>
                <w:b/>
                <w:bCs/>
                <w:color w:val="FFFFFF" w:themeColor="background1"/>
                <w:szCs w:val="22"/>
              </w:rPr>
            </w:pPr>
            <w:r w:rsidRPr="00220FD9">
              <w:rPr>
                <w:rFonts w:ascii="Arial" w:hAnsi="Arial" w:cs="Arial"/>
                <w:b/>
                <w:bCs/>
                <w:color w:val="FFFFFF" w:themeColor="background1"/>
                <w:szCs w:val="22"/>
              </w:rPr>
              <w:t>2016/17</w:t>
            </w:r>
          </w:p>
        </w:tc>
      </w:tr>
      <w:tr w:rsidR="001A4F86" w:rsidRPr="005B5A42" w:rsidTr="001A4F86">
        <w:tc>
          <w:tcPr>
            <w:tcW w:w="1276" w:type="dxa"/>
          </w:tcPr>
          <w:p w:rsidR="001A4F86" w:rsidRPr="005B5A42" w:rsidRDefault="001A4F86" w:rsidP="005B5A42">
            <w:pPr>
              <w:rPr>
                <w:rFonts w:ascii="Arial" w:hAnsi="Arial" w:cs="Arial"/>
                <w:szCs w:val="22"/>
              </w:rPr>
            </w:pPr>
            <w:r w:rsidRPr="005B5A42">
              <w:rPr>
                <w:rFonts w:ascii="Arial" w:hAnsi="Arial" w:cs="Arial"/>
                <w:szCs w:val="22"/>
              </w:rPr>
              <w:t xml:space="preserve">Band1 </w:t>
            </w:r>
          </w:p>
        </w:tc>
        <w:tc>
          <w:tcPr>
            <w:tcW w:w="1701" w:type="dxa"/>
            <w:vAlign w:val="bottom"/>
          </w:tcPr>
          <w:p w:rsidR="001A4F86" w:rsidRPr="005B5A42" w:rsidRDefault="001A4F86" w:rsidP="001A4F86">
            <w:pPr>
              <w:pStyle w:val="Footer"/>
              <w:tabs>
                <w:tab w:val="clear" w:pos="4153"/>
                <w:tab w:val="clear" w:pos="8306"/>
              </w:tabs>
              <w:jc w:val="right"/>
              <w:rPr>
                <w:rFonts w:ascii="Arial" w:hAnsi="Arial" w:cs="Arial"/>
                <w:szCs w:val="22"/>
              </w:rPr>
            </w:pPr>
            <w:r w:rsidRPr="005B5A42">
              <w:rPr>
                <w:rFonts w:ascii="Arial" w:hAnsi="Arial" w:cs="Arial"/>
                <w:szCs w:val="22"/>
              </w:rPr>
              <w:t>Part of £6,000 notional SEN funding</w:t>
            </w:r>
          </w:p>
        </w:tc>
        <w:tc>
          <w:tcPr>
            <w:tcW w:w="1701" w:type="dxa"/>
            <w:vAlign w:val="bottom"/>
          </w:tcPr>
          <w:p w:rsidR="001A4F86" w:rsidRPr="005B5A42" w:rsidRDefault="001A4F86" w:rsidP="001A4F86">
            <w:pPr>
              <w:pStyle w:val="Footer"/>
              <w:tabs>
                <w:tab w:val="clear" w:pos="4153"/>
                <w:tab w:val="clear" w:pos="8306"/>
              </w:tabs>
              <w:jc w:val="right"/>
              <w:rPr>
                <w:rFonts w:ascii="Arial" w:hAnsi="Arial" w:cs="Arial"/>
                <w:szCs w:val="22"/>
              </w:rPr>
            </w:pPr>
            <w:r w:rsidRPr="005B5A42">
              <w:rPr>
                <w:rFonts w:ascii="Arial" w:hAnsi="Arial" w:cs="Arial"/>
                <w:szCs w:val="22"/>
              </w:rPr>
              <w:t>Part of £6,000 notional SEN funding</w:t>
            </w:r>
          </w:p>
        </w:tc>
        <w:tc>
          <w:tcPr>
            <w:tcW w:w="1701" w:type="dxa"/>
            <w:vAlign w:val="bottom"/>
          </w:tcPr>
          <w:p w:rsidR="001A4F86" w:rsidRPr="00954D64" w:rsidRDefault="00AB3FF6" w:rsidP="001A4F86">
            <w:pPr>
              <w:pStyle w:val="Footer"/>
              <w:tabs>
                <w:tab w:val="clear" w:pos="4153"/>
                <w:tab w:val="clear" w:pos="8306"/>
              </w:tabs>
              <w:jc w:val="right"/>
              <w:rPr>
                <w:rFonts w:ascii="Arial" w:hAnsi="Arial" w:cs="Arial"/>
              </w:rPr>
            </w:pPr>
            <w:r>
              <w:rPr>
                <w:rFonts w:ascii="Arial" w:hAnsi="Arial" w:cs="Arial"/>
              </w:rPr>
              <w:t>Part of SEN support funding</w:t>
            </w:r>
          </w:p>
        </w:tc>
        <w:tc>
          <w:tcPr>
            <w:tcW w:w="1701" w:type="dxa"/>
            <w:vAlign w:val="bottom"/>
          </w:tcPr>
          <w:p w:rsidR="001A4F86" w:rsidRPr="00954D64" w:rsidRDefault="00AB3FF6" w:rsidP="001A4F86">
            <w:pPr>
              <w:pStyle w:val="Footer"/>
              <w:tabs>
                <w:tab w:val="clear" w:pos="4153"/>
                <w:tab w:val="clear" w:pos="8306"/>
              </w:tabs>
              <w:jc w:val="right"/>
              <w:rPr>
                <w:rFonts w:ascii="Arial" w:hAnsi="Arial" w:cs="Arial"/>
              </w:rPr>
            </w:pPr>
            <w:r>
              <w:rPr>
                <w:rFonts w:ascii="Arial" w:hAnsi="Arial" w:cs="Arial"/>
              </w:rPr>
              <w:t>Part of SEN support funding</w:t>
            </w:r>
          </w:p>
        </w:tc>
      </w:tr>
      <w:tr w:rsidR="001A4F86" w:rsidRPr="005B5A42" w:rsidTr="001A4F86">
        <w:tc>
          <w:tcPr>
            <w:tcW w:w="1276" w:type="dxa"/>
          </w:tcPr>
          <w:p w:rsidR="001A4F86" w:rsidRPr="005B5A42" w:rsidRDefault="001A4F86" w:rsidP="005B5A42">
            <w:pPr>
              <w:rPr>
                <w:rFonts w:ascii="Arial" w:hAnsi="Arial" w:cs="Arial"/>
                <w:szCs w:val="22"/>
              </w:rPr>
            </w:pPr>
            <w:r w:rsidRPr="005B5A42">
              <w:rPr>
                <w:rFonts w:ascii="Arial" w:hAnsi="Arial" w:cs="Arial"/>
                <w:szCs w:val="22"/>
              </w:rPr>
              <w:t>Band 2</w:t>
            </w:r>
          </w:p>
        </w:tc>
        <w:tc>
          <w:tcPr>
            <w:tcW w:w="1701" w:type="dxa"/>
            <w:vAlign w:val="bottom"/>
          </w:tcPr>
          <w:p w:rsidR="001A4F86" w:rsidRPr="005B5A42" w:rsidRDefault="001A4F86" w:rsidP="001A4F86">
            <w:pPr>
              <w:pStyle w:val="Footer"/>
              <w:tabs>
                <w:tab w:val="clear" w:pos="4153"/>
                <w:tab w:val="clear" w:pos="8306"/>
              </w:tabs>
              <w:jc w:val="right"/>
              <w:rPr>
                <w:rFonts w:ascii="Arial" w:hAnsi="Arial" w:cs="Arial"/>
                <w:szCs w:val="22"/>
              </w:rPr>
            </w:pPr>
            <w:r w:rsidRPr="005B5A42">
              <w:rPr>
                <w:rFonts w:ascii="Arial" w:hAnsi="Arial" w:cs="Arial"/>
                <w:szCs w:val="22"/>
              </w:rPr>
              <w:t>£5,691</w:t>
            </w:r>
          </w:p>
        </w:tc>
        <w:tc>
          <w:tcPr>
            <w:tcW w:w="1701" w:type="dxa"/>
            <w:vAlign w:val="bottom"/>
          </w:tcPr>
          <w:p w:rsidR="001A4F86" w:rsidRPr="005B5A42" w:rsidRDefault="001A4F86" w:rsidP="001A4F86">
            <w:pPr>
              <w:pStyle w:val="Footer"/>
              <w:tabs>
                <w:tab w:val="clear" w:pos="4153"/>
                <w:tab w:val="clear" w:pos="8306"/>
              </w:tabs>
              <w:jc w:val="right"/>
              <w:rPr>
                <w:rFonts w:ascii="Arial" w:hAnsi="Arial" w:cs="Arial"/>
                <w:szCs w:val="22"/>
              </w:rPr>
            </w:pPr>
            <w:r w:rsidRPr="005B5A42">
              <w:rPr>
                <w:rFonts w:ascii="Arial" w:hAnsi="Arial" w:cs="Arial"/>
                <w:szCs w:val="22"/>
              </w:rPr>
              <w:t>£5,691</w:t>
            </w:r>
          </w:p>
        </w:tc>
        <w:tc>
          <w:tcPr>
            <w:tcW w:w="1701" w:type="dxa"/>
            <w:vAlign w:val="bottom"/>
          </w:tcPr>
          <w:p w:rsidR="001A4F86" w:rsidRPr="00954D64" w:rsidRDefault="001A4F86" w:rsidP="001A4F86">
            <w:pPr>
              <w:pStyle w:val="Footer"/>
              <w:tabs>
                <w:tab w:val="clear" w:pos="4153"/>
                <w:tab w:val="clear" w:pos="8306"/>
              </w:tabs>
              <w:jc w:val="right"/>
              <w:rPr>
                <w:rFonts w:ascii="Arial" w:hAnsi="Arial" w:cs="Arial"/>
              </w:rPr>
            </w:pPr>
            <w:r w:rsidRPr="00954D64">
              <w:rPr>
                <w:rFonts w:ascii="Arial" w:hAnsi="Arial" w:cs="Arial"/>
              </w:rPr>
              <w:t>£5,</w:t>
            </w:r>
            <w:r>
              <w:rPr>
                <w:rFonts w:ascii="Arial" w:hAnsi="Arial" w:cs="Arial"/>
              </w:rPr>
              <w:t>846</w:t>
            </w:r>
          </w:p>
        </w:tc>
        <w:tc>
          <w:tcPr>
            <w:tcW w:w="1701" w:type="dxa"/>
            <w:vAlign w:val="bottom"/>
          </w:tcPr>
          <w:p w:rsidR="001A4F86" w:rsidRPr="00954D64" w:rsidRDefault="001A4F86" w:rsidP="001A4F86">
            <w:pPr>
              <w:pStyle w:val="Footer"/>
              <w:tabs>
                <w:tab w:val="clear" w:pos="4153"/>
                <w:tab w:val="clear" w:pos="8306"/>
              </w:tabs>
              <w:jc w:val="right"/>
              <w:rPr>
                <w:rFonts w:ascii="Arial" w:hAnsi="Arial" w:cs="Arial"/>
              </w:rPr>
            </w:pPr>
            <w:r w:rsidRPr="00954D64">
              <w:rPr>
                <w:rFonts w:ascii="Arial" w:hAnsi="Arial" w:cs="Arial"/>
              </w:rPr>
              <w:t>£5,</w:t>
            </w:r>
            <w:r>
              <w:rPr>
                <w:rFonts w:ascii="Arial" w:hAnsi="Arial" w:cs="Arial"/>
              </w:rPr>
              <w:t>846</w:t>
            </w:r>
          </w:p>
        </w:tc>
      </w:tr>
      <w:tr w:rsidR="001A4F86" w:rsidRPr="005B5A42" w:rsidTr="001A4F86">
        <w:tc>
          <w:tcPr>
            <w:tcW w:w="1276" w:type="dxa"/>
          </w:tcPr>
          <w:p w:rsidR="001A4F86" w:rsidRPr="005B5A42" w:rsidRDefault="001A4F86" w:rsidP="005B5A42">
            <w:pPr>
              <w:rPr>
                <w:rFonts w:ascii="Arial" w:hAnsi="Arial" w:cs="Arial"/>
                <w:szCs w:val="22"/>
              </w:rPr>
            </w:pPr>
            <w:r w:rsidRPr="005B5A42">
              <w:rPr>
                <w:rFonts w:ascii="Arial" w:hAnsi="Arial" w:cs="Arial"/>
                <w:szCs w:val="22"/>
              </w:rPr>
              <w:t>Band 3</w:t>
            </w:r>
          </w:p>
        </w:tc>
        <w:tc>
          <w:tcPr>
            <w:tcW w:w="1701" w:type="dxa"/>
            <w:vAlign w:val="bottom"/>
          </w:tcPr>
          <w:p w:rsidR="001A4F86" w:rsidRPr="005B5A42" w:rsidRDefault="001A4F86" w:rsidP="001A4F86">
            <w:pPr>
              <w:jc w:val="right"/>
              <w:rPr>
                <w:rFonts w:ascii="Arial" w:hAnsi="Arial" w:cs="Arial"/>
                <w:szCs w:val="22"/>
              </w:rPr>
            </w:pPr>
            <w:r w:rsidRPr="005B5A42">
              <w:rPr>
                <w:rFonts w:ascii="Arial" w:hAnsi="Arial" w:cs="Arial"/>
                <w:szCs w:val="22"/>
              </w:rPr>
              <w:t>£7,826</w:t>
            </w:r>
          </w:p>
        </w:tc>
        <w:tc>
          <w:tcPr>
            <w:tcW w:w="1701" w:type="dxa"/>
            <w:vAlign w:val="bottom"/>
          </w:tcPr>
          <w:p w:rsidR="001A4F86" w:rsidRPr="005B5A42" w:rsidRDefault="001A4F86" w:rsidP="001A4F86">
            <w:pPr>
              <w:jc w:val="right"/>
              <w:rPr>
                <w:rFonts w:ascii="Arial" w:hAnsi="Arial" w:cs="Arial"/>
                <w:szCs w:val="22"/>
              </w:rPr>
            </w:pPr>
            <w:r w:rsidRPr="005B5A42">
              <w:rPr>
                <w:rFonts w:ascii="Arial" w:hAnsi="Arial" w:cs="Arial"/>
                <w:szCs w:val="22"/>
              </w:rPr>
              <w:t>£7,826</w:t>
            </w:r>
          </w:p>
        </w:tc>
        <w:tc>
          <w:tcPr>
            <w:tcW w:w="1701" w:type="dxa"/>
            <w:vAlign w:val="bottom"/>
          </w:tcPr>
          <w:p w:rsidR="001A4F86" w:rsidRPr="00954D64" w:rsidRDefault="001A4F86" w:rsidP="001A4F86">
            <w:pPr>
              <w:jc w:val="right"/>
              <w:rPr>
                <w:rFonts w:ascii="Arial" w:hAnsi="Arial" w:cs="Arial"/>
              </w:rPr>
            </w:pPr>
            <w:r w:rsidRPr="00954D64">
              <w:rPr>
                <w:rFonts w:ascii="Arial" w:hAnsi="Arial" w:cs="Arial"/>
              </w:rPr>
              <w:t>£</w:t>
            </w:r>
            <w:r>
              <w:rPr>
                <w:rFonts w:ascii="Arial" w:hAnsi="Arial" w:cs="Arial"/>
              </w:rPr>
              <w:t>6,913</w:t>
            </w:r>
          </w:p>
        </w:tc>
        <w:tc>
          <w:tcPr>
            <w:tcW w:w="1701" w:type="dxa"/>
            <w:vAlign w:val="bottom"/>
          </w:tcPr>
          <w:p w:rsidR="001A4F86" w:rsidRPr="00954D64" w:rsidRDefault="001A4F86" w:rsidP="001A4F86">
            <w:pPr>
              <w:jc w:val="right"/>
              <w:rPr>
                <w:rFonts w:ascii="Arial" w:hAnsi="Arial" w:cs="Arial"/>
              </w:rPr>
            </w:pPr>
            <w:r w:rsidRPr="00954D64">
              <w:rPr>
                <w:rFonts w:ascii="Arial" w:hAnsi="Arial" w:cs="Arial"/>
              </w:rPr>
              <w:t>£</w:t>
            </w:r>
            <w:r>
              <w:rPr>
                <w:rFonts w:ascii="Arial" w:hAnsi="Arial" w:cs="Arial"/>
              </w:rPr>
              <w:t>6,913</w:t>
            </w:r>
          </w:p>
        </w:tc>
      </w:tr>
      <w:tr w:rsidR="001A4F86" w:rsidRPr="005B5A42" w:rsidTr="001A4F86">
        <w:tc>
          <w:tcPr>
            <w:tcW w:w="1276" w:type="dxa"/>
          </w:tcPr>
          <w:p w:rsidR="001A4F86" w:rsidRPr="005B5A42" w:rsidRDefault="001A4F86" w:rsidP="005B5A42">
            <w:pPr>
              <w:rPr>
                <w:rFonts w:ascii="Arial" w:hAnsi="Arial" w:cs="Arial"/>
                <w:szCs w:val="22"/>
              </w:rPr>
            </w:pPr>
            <w:r w:rsidRPr="005B5A42">
              <w:rPr>
                <w:rFonts w:ascii="Arial" w:hAnsi="Arial" w:cs="Arial"/>
                <w:szCs w:val="22"/>
              </w:rPr>
              <w:t>Band 4</w:t>
            </w:r>
          </w:p>
        </w:tc>
        <w:tc>
          <w:tcPr>
            <w:tcW w:w="1701" w:type="dxa"/>
            <w:vAlign w:val="bottom"/>
          </w:tcPr>
          <w:p w:rsidR="001A4F86" w:rsidRPr="005B5A42" w:rsidRDefault="001A4F86" w:rsidP="001A4F86">
            <w:pPr>
              <w:jc w:val="right"/>
              <w:rPr>
                <w:rFonts w:ascii="Arial" w:hAnsi="Arial" w:cs="Arial"/>
                <w:szCs w:val="22"/>
              </w:rPr>
            </w:pPr>
            <w:r w:rsidRPr="005B5A42">
              <w:rPr>
                <w:rFonts w:ascii="Arial" w:hAnsi="Arial" w:cs="Arial"/>
                <w:szCs w:val="22"/>
              </w:rPr>
              <w:t>£9,961</w:t>
            </w:r>
          </w:p>
        </w:tc>
        <w:tc>
          <w:tcPr>
            <w:tcW w:w="1701" w:type="dxa"/>
            <w:vAlign w:val="bottom"/>
          </w:tcPr>
          <w:p w:rsidR="001A4F86" w:rsidRPr="005B5A42" w:rsidRDefault="001A4F86" w:rsidP="001A4F86">
            <w:pPr>
              <w:jc w:val="right"/>
              <w:rPr>
                <w:rFonts w:ascii="Arial" w:hAnsi="Arial" w:cs="Arial"/>
                <w:szCs w:val="22"/>
              </w:rPr>
            </w:pPr>
            <w:r w:rsidRPr="005B5A42">
              <w:rPr>
                <w:rFonts w:ascii="Arial" w:hAnsi="Arial" w:cs="Arial"/>
                <w:szCs w:val="22"/>
              </w:rPr>
              <w:t>£9,961</w:t>
            </w:r>
          </w:p>
        </w:tc>
        <w:tc>
          <w:tcPr>
            <w:tcW w:w="1701" w:type="dxa"/>
            <w:vAlign w:val="bottom"/>
          </w:tcPr>
          <w:p w:rsidR="001A4F86" w:rsidRPr="00954D64" w:rsidRDefault="001A4F86" w:rsidP="001A4F86">
            <w:pPr>
              <w:jc w:val="right"/>
              <w:rPr>
                <w:rFonts w:ascii="Arial" w:hAnsi="Arial" w:cs="Arial"/>
              </w:rPr>
            </w:pPr>
            <w:r w:rsidRPr="00954D64">
              <w:rPr>
                <w:rFonts w:ascii="Arial" w:hAnsi="Arial" w:cs="Arial"/>
              </w:rPr>
              <w:t>£</w:t>
            </w:r>
            <w:r>
              <w:rPr>
                <w:rFonts w:ascii="Arial" w:hAnsi="Arial" w:cs="Arial"/>
              </w:rPr>
              <w:t>7,981</w:t>
            </w:r>
          </w:p>
        </w:tc>
        <w:tc>
          <w:tcPr>
            <w:tcW w:w="1701" w:type="dxa"/>
            <w:vAlign w:val="bottom"/>
          </w:tcPr>
          <w:p w:rsidR="001A4F86" w:rsidRPr="00954D64" w:rsidRDefault="001A4F86" w:rsidP="001A4F86">
            <w:pPr>
              <w:jc w:val="right"/>
              <w:rPr>
                <w:rFonts w:ascii="Arial" w:hAnsi="Arial" w:cs="Arial"/>
              </w:rPr>
            </w:pPr>
            <w:r w:rsidRPr="00954D64">
              <w:rPr>
                <w:rFonts w:ascii="Arial" w:hAnsi="Arial" w:cs="Arial"/>
              </w:rPr>
              <w:t>£</w:t>
            </w:r>
            <w:r>
              <w:rPr>
                <w:rFonts w:ascii="Arial" w:hAnsi="Arial" w:cs="Arial"/>
              </w:rPr>
              <w:t>7,981</w:t>
            </w:r>
          </w:p>
        </w:tc>
      </w:tr>
      <w:tr w:rsidR="001A4F86" w:rsidRPr="005B5A42" w:rsidTr="001A4F86">
        <w:tc>
          <w:tcPr>
            <w:tcW w:w="1276" w:type="dxa"/>
          </w:tcPr>
          <w:p w:rsidR="001A4F86" w:rsidRPr="005B5A42" w:rsidRDefault="001A4F86" w:rsidP="005B5A42">
            <w:pPr>
              <w:rPr>
                <w:rFonts w:ascii="Arial" w:hAnsi="Arial" w:cs="Arial"/>
                <w:szCs w:val="22"/>
              </w:rPr>
            </w:pPr>
            <w:r w:rsidRPr="005B5A42">
              <w:rPr>
                <w:rFonts w:ascii="Arial" w:hAnsi="Arial" w:cs="Arial"/>
                <w:szCs w:val="22"/>
              </w:rPr>
              <w:t>Band 5</w:t>
            </w:r>
          </w:p>
        </w:tc>
        <w:tc>
          <w:tcPr>
            <w:tcW w:w="1701" w:type="dxa"/>
            <w:vAlign w:val="bottom"/>
          </w:tcPr>
          <w:p w:rsidR="001A4F86" w:rsidRPr="005B5A42" w:rsidRDefault="001A4F86" w:rsidP="001A4F86">
            <w:pPr>
              <w:jc w:val="right"/>
              <w:rPr>
                <w:rFonts w:ascii="Arial" w:hAnsi="Arial" w:cs="Arial"/>
                <w:szCs w:val="22"/>
              </w:rPr>
            </w:pPr>
            <w:r w:rsidRPr="005B5A42">
              <w:rPr>
                <w:rFonts w:ascii="Arial" w:hAnsi="Arial" w:cs="Arial"/>
                <w:szCs w:val="22"/>
              </w:rPr>
              <w:t>£12,096</w:t>
            </w:r>
          </w:p>
        </w:tc>
        <w:tc>
          <w:tcPr>
            <w:tcW w:w="1701" w:type="dxa"/>
            <w:vAlign w:val="bottom"/>
          </w:tcPr>
          <w:p w:rsidR="001A4F86" w:rsidRPr="005B5A42" w:rsidRDefault="001A4F86" w:rsidP="001A4F86">
            <w:pPr>
              <w:jc w:val="right"/>
              <w:rPr>
                <w:rFonts w:ascii="Arial" w:hAnsi="Arial" w:cs="Arial"/>
                <w:szCs w:val="22"/>
              </w:rPr>
            </w:pPr>
            <w:r w:rsidRPr="005B5A42">
              <w:rPr>
                <w:rFonts w:ascii="Arial" w:hAnsi="Arial" w:cs="Arial"/>
                <w:szCs w:val="22"/>
              </w:rPr>
              <w:t>£12,096</w:t>
            </w:r>
          </w:p>
        </w:tc>
        <w:tc>
          <w:tcPr>
            <w:tcW w:w="1701" w:type="dxa"/>
            <w:vAlign w:val="bottom"/>
          </w:tcPr>
          <w:p w:rsidR="001A4F86" w:rsidRPr="00954D64" w:rsidRDefault="001A4F86" w:rsidP="001A4F86">
            <w:pPr>
              <w:jc w:val="right"/>
              <w:rPr>
                <w:rFonts w:ascii="Arial" w:hAnsi="Arial" w:cs="Arial"/>
              </w:rPr>
            </w:pPr>
            <w:r>
              <w:rPr>
                <w:rFonts w:ascii="Arial" w:hAnsi="Arial" w:cs="Arial"/>
              </w:rPr>
              <w:t>£9,048</w:t>
            </w:r>
          </w:p>
        </w:tc>
        <w:tc>
          <w:tcPr>
            <w:tcW w:w="1701" w:type="dxa"/>
            <w:vAlign w:val="bottom"/>
          </w:tcPr>
          <w:p w:rsidR="001A4F86" w:rsidRPr="00954D64" w:rsidRDefault="001A4F86" w:rsidP="001A4F86">
            <w:pPr>
              <w:jc w:val="right"/>
              <w:rPr>
                <w:rFonts w:ascii="Arial" w:hAnsi="Arial" w:cs="Arial"/>
              </w:rPr>
            </w:pPr>
            <w:r>
              <w:rPr>
                <w:rFonts w:ascii="Arial" w:hAnsi="Arial" w:cs="Arial"/>
              </w:rPr>
              <w:t>£9,048</w:t>
            </w:r>
          </w:p>
        </w:tc>
      </w:tr>
    </w:tbl>
    <w:p w:rsidR="005B5A42" w:rsidRDefault="005B5A42" w:rsidP="005B5A42">
      <w:pPr>
        <w:pStyle w:val="ListParagraph"/>
        <w:rPr>
          <w:rFonts w:ascii="Arial" w:hAnsi="Arial"/>
        </w:rPr>
      </w:pPr>
    </w:p>
    <w:p w:rsidR="00F73E68" w:rsidRDefault="00F73E68" w:rsidP="005B3CB7">
      <w:pPr>
        <w:pStyle w:val="BodyTextIndent"/>
        <w:spacing w:after="0"/>
        <w:ind w:left="0"/>
        <w:rPr>
          <w:rFonts w:ascii="Arial" w:hAnsi="Arial"/>
        </w:rPr>
      </w:pPr>
    </w:p>
    <w:p w:rsidR="00D02590" w:rsidRPr="002F12EC" w:rsidRDefault="00D02590" w:rsidP="008D4BA3">
      <w:pPr>
        <w:pStyle w:val="Header"/>
        <w:numPr>
          <w:ilvl w:val="1"/>
          <w:numId w:val="2"/>
        </w:numPr>
        <w:tabs>
          <w:tab w:val="clear" w:pos="4153"/>
          <w:tab w:val="clear" w:pos="8306"/>
        </w:tabs>
        <w:ind w:hanging="720"/>
        <w:rPr>
          <w:b/>
        </w:rPr>
      </w:pPr>
      <w:r w:rsidRPr="002F12EC">
        <w:rPr>
          <w:b/>
          <w:szCs w:val="24"/>
        </w:rPr>
        <w:t>Special Schools</w:t>
      </w:r>
    </w:p>
    <w:p w:rsidR="004311BB" w:rsidRDefault="004311BB" w:rsidP="004311BB">
      <w:pPr>
        <w:pStyle w:val="Header"/>
        <w:tabs>
          <w:tab w:val="clear" w:pos="4153"/>
          <w:tab w:val="clear" w:pos="8306"/>
        </w:tabs>
        <w:rPr>
          <w:b/>
          <w:szCs w:val="24"/>
        </w:rPr>
      </w:pPr>
    </w:p>
    <w:p w:rsidR="00F73E68" w:rsidRPr="00440E05" w:rsidRDefault="005B3CB7" w:rsidP="00F73E68">
      <w:pPr>
        <w:pStyle w:val="Header"/>
        <w:numPr>
          <w:ilvl w:val="2"/>
          <w:numId w:val="2"/>
        </w:numPr>
        <w:tabs>
          <w:tab w:val="clear" w:pos="4153"/>
          <w:tab w:val="clear" w:pos="8306"/>
        </w:tabs>
        <w:rPr>
          <w:szCs w:val="24"/>
        </w:rPr>
      </w:pPr>
      <w:r>
        <w:rPr>
          <w:rFonts w:cs="Arial"/>
          <w:szCs w:val="22"/>
        </w:rPr>
        <w:t>S</w:t>
      </w:r>
      <w:r w:rsidR="00F73E68">
        <w:rPr>
          <w:rFonts w:cs="Arial"/>
          <w:szCs w:val="22"/>
        </w:rPr>
        <w:t xml:space="preserve">pecialist SEN and LDD schools will </w:t>
      </w:r>
      <w:r>
        <w:rPr>
          <w:rFonts w:cs="Arial"/>
          <w:szCs w:val="22"/>
        </w:rPr>
        <w:t xml:space="preserve">continue to </w:t>
      </w:r>
      <w:r w:rsidR="00F73E68">
        <w:rPr>
          <w:rFonts w:cs="Arial"/>
          <w:szCs w:val="22"/>
        </w:rPr>
        <w:t>receive a base level of funding on the basis of an agreed number of planned places at £10,000 per place. Top-up funding above this level will</w:t>
      </w:r>
      <w:r w:rsidR="00220FD9">
        <w:rPr>
          <w:rFonts w:cs="Arial"/>
          <w:szCs w:val="22"/>
        </w:rPr>
        <w:t xml:space="preserve"> be set as the 2016/17 values and </w:t>
      </w:r>
      <w:r w:rsidR="00220FD9">
        <w:t>uplifted this year to take account of the additional £1.43 cost to schools for school improvement, £23.11 for the statutory central education function reduction</w:t>
      </w:r>
      <w:r w:rsidR="00A3304E">
        <w:rPr>
          <w:rFonts w:cs="Arial"/>
          <w:szCs w:val="22"/>
        </w:rPr>
        <w:t>.</w:t>
      </w:r>
    </w:p>
    <w:p w:rsidR="00440E05" w:rsidRPr="00440E05" w:rsidRDefault="00440E05" w:rsidP="00440E05">
      <w:pPr>
        <w:pStyle w:val="Header"/>
        <w:tabs>
          <w:tab w:val="clear" w:pos="4153"/>
          <w:tab w:val="clear" w:pos="8306"/>
        </w:tabs>
        <w:rPr>
          <w:szCs w:val="24"/>
        </w:rPr>
      </w:pPr>
    </w:p>
    <w:p w:rsidR="00F73E68" w:rsidRPr="00F73E68" w:rsidRDefault="00114DD8" w:rsidP="00F73E68">
      <w:pPr>
        <w:pStyle w:val="Header"/>
        <w:numPr>
          <w:ilvl w:val="2"/>
          <w:numId w:val="2"/>
        </w:numPr>
        <w:tabs>
          <w:tab w:val="clear" w:pos="4153"/>
          <w:tab w:val="clear" w:pos="8306"/>
        </w:tabs>
        <w:rPr>
          <w:szCs w:val="24"/>
        </w:rPr>
      </w:pPr>
      <w:r>
        <w:rPr>
          <w:szCs w:val="24"/>
        </w:rPr>
        <w:t>Due to t</w:t>
      </w:r>
      <w:r w:rsidR="005B3CB7">
        <w:rPr>
          <w:szCs w:val="24"/>
        </w:rPr>
        <w:t xml:space="preserve">he increase in </w:t>
      </w:r>
      <w:r w:rsidR="00E06A23">
        <w:rPr>
          <w:szCs w:val="24"/>
        </w:rPr>
        <w:t xml:space="preserve">pupil </w:t>
      </w:r>
      <w:r w:rsidR="005B3CB7">
        <w:rPr>
          <w:szCs w:val="24"/>
        </w:rPr>
        <w:t xml:space="preserve">numbers </w:t>
      </w:r>
      <w:r w:rsidR="00E06A23">
        <w:rPr>
          <w:szCs w:val="24"/>
        </w:rPr>
        <w:t>at</w:t>
      </w:r>
      <w:r w:rsidR="005B3CB7">
        <w:rPr>
          <w:szCs w:val="24"/>
        </w:rPr>
        <w:t xml:space="preserve"> special schools</w:t>
      </w:r>
      <w:r w:rsidR="000C420E">
        <w:rPr>
          <w:szCs w:val="24"/>
        </w:rPr>
        <w:t xml:space="preserve"> by 8 to 367</w:t>
      </w:r>
      <w:r w:rsidR="000810A7">
        <w:rPr>
          <w:szCs w:val="24"/>
        </w:rPr>
        <w:t>,</w:t>
      </w:r>
      <w:r>
        <w:rPr>
          <w:szCs w:val="24"/>
        </w:rPr>
        <w:t xml:space="preserve"> the </w:t>
      </w:r>
      <w:r w:rsidR="000C420E">
        <w:rPr>
          <w:szCs w:val="24"/>
        </w:rPr>
        <w:t>special school budget</w:t>
      </w:r>
      <w:r>
        <w:rPr>
          <w:szCs w:val="24"/>
        </w:rPr>
        <w:t xml:space="preserve"> </w:t>
      </w:r>
      <w:r w:rsidR="005B3CB7">
        <w:rPr>
          <w:szCs w:val="24"/>
        </w:rPr>
        <w:t xml:space="preserve">will be </w:t>
      </w:r>
      <w:r>
        <w:rPr>
          <w:szCs w:val="24"/>
        </w:rPr>
        <w:t>increased by £</w:t>
      </w:r>
      <w:r w:rsidR="000C420E">
        <w:rPr>
          <w:szCs w:val="24"/>
        </w:rPr>
        <w:t>22</w:t>
      </w:r>
      <w:r>
        <w:rPr>
          <w:szCs w:val="24"/>
        </w:rPr>
        <w:t xml:space="preserve">0k </w:t>
      </w:r>
      <w:r w:rsidR="000810A7">
        <w:rPr>
          <w:szCs w:val="24"/>
        </w:rPr>
        <w:t>to cover the cost pressure of supporting these additional children</w:t>
      </w:r>
      <w:r w:rsidR="002F12EC">
        <w:rPr>
          <w:szCs w:val="24"/>
        </w:rPr>
        <w:t>.</w:t>
      </w:r>
    </w:p>
    <w:p w:rsidR="00F73E68" w:rsidRPr="00F73E68" w:rsidRDefault="00F73E68" w:rsidP="00F73E68">
      <w:pPr>
        <w:pStyle w:val="Header"/>
        <w:tabs>
          <w:tab w:val="clear" w:pos="4153"/>
          <w:tab w:val="clear" w:pos="8306"/>
        </w:tabs>
        <w:rPr>
          <w:szCs w:val="24"/>
        </w:rPr>
      </w:pPr>
    </w:p>
    <w:p w:rsidR="00F73E68" w:rsidRPr="00F73E68" w:rsidRDefault="00F73E68" w:rsidP="00F73E68">
      <w:pPr>
        <w:pStyle w:val="Header"/>
        <w:numPr>
          <w:ilvl w:val="2"/>
          <w:numId w:val="2"/>
        </w:numPr>
        <w:tabs>
          <w:tab w:val="clear" w:pos="4153"/>
          <w:tab w:val="clear" w:pos="8306"/>
        </w:tabs>
        <w:rPr>
          <w:szCs w:val="24"/>
        </w:rPr>
      </w:pPr>
      <w:r>
        <w:rPr>
          <w:rFonts w:cs="Arial"/>
          <w:szCs w:val="22"/>
        </w:rPr>
        <w:t>The total for specialist SEN and LDD settings includes the school budgets for Cricket Green, Perseid, and Melrose special schools.</w:t>
      </w:r>
    </w:p>
    <w:p w:rsidR="005B5A42" w:rsidRPr="00F73E68" w:rsidRDefault="005B5A42" w:rsidP="00F73E68">
      <w:pPr>
        <w:pStyle w:val="Header"/>
        <w:tabs>
          <w:tab w:val="clear" w:pos="4153"/>
          <w:tab w:val="clear" w:pos="8306"/>
        </w:tabs>
        <w:rPr>
          <w:szCs w:val="24"/>
        </w:rPr>
      </w:pPr>
    </w:p>
    <w:p w:rsidR="00D6691C" w:rsidRPr="004311BB" w:rsidRDefault="00D02590" w:rsidP="008D4BA3">
      <w:pPr>
        <w:pStyle w:val="Header"/>
        <w:numPr>
          <w:ilvl w:val="1"/>
          <w:numId w:val="2"/>
        </w:numPr>
        <w:tabs>
          <w:tab w:val="clear" w:pos="4153"/>
          <w:tab w:val="clear" w:pos="8306"/>
        </w:tabs>
        <w:ind w:hanging="720"/>
        <w:rPr>
          <w:b/>
        </w:rPr>
      </w:pPr>
      <w:r>
        <w:rPr>
          <w:b/>
          <w:szCs w:val="24"/>
        </w:rPr>
        <w:t>Addi</w:t>
      </w:r>
      <w:r w:rsidR="00440E05">
        <w:rPr>
          <w:b/>
          <w:szCs w:val="24"/>
        </w:rPr>
        <w:t>tional Resource Provision bases</w:t>
      </w:r>
    </w:p>
    <w:p w:rsidR="004311BB" w:rsidRDefault="004311BB" w:rsidP="004311BB">
      <w:pPr>
        <w:pStyle w:val="Header"/>
        <w:tabs>
          <w:tab w:val="clear" w:pos="4153"/>
          <w:tab w:val="clear" w:pos="8306"/>
        </w:tabs>
        <w:rPr>
          <w:szCs w:val="24"/>
        </w:rPr>
      </w:pPr>
    </w:p>
    <w:p w:rsidR="00440E05" w:rsidRDefault="00585FAD" w:rsidP="007A234E">
      <w:pPr>
        <w:pStyle w:val="Header"/>
        <w:numPr>
          <w:ilvl w:val="2"/>
          <w:numId w:val="2"/>
        </w:numPr>
        <w:tabs>
          <w:tab w:val="clear" w:pos="4153"/>
          <w:tab w:val="clear" w:pos="8306"/>
        </w:tabs>
        <w:rPr>
          <w:rFonts w:cs="Arial"/>
          <w:szCs w:val="22"/>
        </w:rPr>
      </w:pPr>
      <w:r>
        <w:rPr>
          <w:rFonts w:cs="Arial"/>
          <w:szCs w:val="22"/>
        </w:rPr>
        <w:t>P</w:t>
      </w:r>
      <w:r w:rsidR="00440E05" w:rsidRPr="00440E05">
        <w:rPr>
          <w:rFonts w:cs="Arial"/>
          <w:szCs w:val="22"/>
        </w:rPr>
        <w:t>laces in special units and resourced provision will attract a base level of funding of £10,000 per place as well as top-up funding</w:t>
      </w:r>
      <w:r w:rsidR="002F12EC">
        <w:rPr>
          <w:rFonts w:cs="Arial"/>
          <w:szCs w:val="22"/>
        </w:rPr>
        <w:t>. W</w:t>
      </w:r>
      <w:r w:rsidR="0095408A">
        <w:rPr>
          <w:rFonts w:cs="Arial"/>
          <w:szCs w:val="22"/>
        </w:rPr>
        <w:t>here the numbers in the base have</w:t>
      </w:r>
      <w:r w:rsidR="002F12EC">
        <w:rPr>
          <w:rFonts w:cs="Arial"/>
          <w:szCs w:val="22"/>
        </w:rPr>
        <w:t xml:space="preserve"> stayed the same, we </w:t>
      </w:r>
      <w:r w:rsidR="00676594">
        <w:rPr>
          <w:rFonts w:cs="Arial"/>
          <w:szCs w:val="22"/>
        </w:rPr>
        <w:t xml:space="preserve">have </w:t>
      </w:r>
      <w:r w:rsidR="002F12EC">
        <w:rPr>
          <w:rFonts w:cs="Arial"/>
          <w:szCs w:val="22"/>
        </w:rPr>
        <w:t>kept the to</w:t>
      </w:r>
      <w:r w:rsidR="0095408A">
        <w:rPr>
          <w:rFonts w:cs="Arial"/>
          <w:szCs w:val="22"/>
        </w:rPr>
        <w:t>p</w:t>
      </w:r>
      <w:r w:rsidR="002F12EC">
        <w:rPr>
          <w:rFonts w:cs="Arial"/>
          <w:szCs w:val="22"/>
        </w:rPr>
        <w:t xml:space="preserve">-up </w:t>
      </w:r>
      <w:r w:rsidR="00F85C9A">
        <w:rPr>
          <w:rFonts w:cs="Arial"/>
          <w:szCs w:val="22"/>
        </w:rPr>
        <w:t xml:space="preserve">funding at the same </w:t>
      </w:r>
      <w:r w:rsidR="000C420E">
        <w:rPr>
          <w:rFonts w:cs="Arial"/>
          <w:szCs w:val="22"/>
        </w:rPr>
        <w:t>rate as 2016/17</w:t>
      </w:r>
      <w:r w:rsidR="002F12EC">
        <w:rPr>
          <w:rFonts w:cs="Arial"/>
          <w:szCs w:val="22"/>
        </w:rPr>
        <w:t>. Where numbers have increased</w:t>
      </w:r>
      <w:r w:rsidR="00F85C9A">
        <w:rPr>
          <w:rFonts w:cs="Arial"/>
          <w:szCs w:val="22"/>
        </w:rPr>
        <w:t>/decreased</w:t>
      </w:r>
      <w:r w:rsidR="002F12EC">
        <w:rPr>
          <w:rFonts w:cs="Arial"/>
          <w:szCs w:val="22"/>
        </w:rPr>
        <w:t xml:space="preserve">, top-up funding </w:t>
      </w:r>
      <w:r w:rsidR="00676594">
        <w:rPr>
          <w:rFonts w:cs="Arial"/>
          <w:szCs w:val="22"/>
        </w:rPr>
        <w:t>has been</w:t>
      </w:r>
      <w:r w:rsidR="002F12EC">
        <w:rPr>
          <w:rFonts w:cs="Arial"/>
          <w:szCs w:val="22"/>
        </w:rPr>
        <w:t xml:space="preserve"> adjusted </w:t>
      </w:r>
      <w:r w:rsidR="000C420E">
        <w:rPr>
          <w:rFonts w:cs="Arial"/>
          <w:szCs w:val="22"/>
        </w:rPr>
        <w:t xml:space="preserve">to reflect these adjustments. Any </w:t>
      </w:r>
      <w:r w:rsidR="002F12EC">
        <w:rPr>
          <w:rFonts w:cs="Arial"/>
          <w:szCs w:val="22"/>
        </w:rPr>
        <w:t>ad</w:t>
      </w:r>
      <w:r w:rsidR="007A234E">
        <w:rPr>
          <w:rFonts w:cs="Arial"/>
          <w:szCs w:val="22"/>
        </w:rPr>
        <w:t>d</w:t>
      </w:r>
      <w:r w:rsidR="000C420E">
        <w:rPr>
          <w:rFonts w:cs="Arial"/>
          <w:szCs w:val="22"/>
        </w:rPr>
        <w:t>itional funding</w:t>
      </w:r>
      <w:r w:rsidR="007A234E">
        <w:rPr>
          <w:rFonts w:cs="Arial"/>
          <w:szCs w:val="22"/>
        </w:rPr>
        <w:t xml:space="preserve"> to the </w:t>
      </w:r>
      <w:r w:rsidR="007A234E">
        <w:rPr>
          <w:rFonts w:cs="Arial"/>
          <w:szCs w:val="22"/>
        </w:rPr>
        <w:lastRenderedPageBreak/>
        <w:t xml:space="preserve">base totals </w:t>
      </w:r>
      <w:r w:rsidR="000C420E">
        <w:rPr>
          <w:rFonts w:cs="Arial"/>
          <w:szCs w:val="22"/>
        </w:rPr>
        <w:t xml:space="preserve">will be </w:t>
      </w:r>
      <w:r w:rsidR="007A234E">
        <w:rPr>
          <w:rFonts w:cs="Arial"/>
          <w:szCs w:val="22"/>
        </w:rPr>
        <w:t xml:space="preserve">equal to </w:t>
      </w:r>
      <w:r w:rsidR="007A234E" w:rsidRPr="007A234E">
        <w:rPr>
          <w:rFonts w:cs="Arial"/>
          <w:szCs w:val="22"/>
        </w:rPr>
        <w:t xml:space="preserve">band 5 </w:t>
      </w:r>
      <w:r w:rsidR="0095408A">
        <w:rPr>
          <w:rFonts w:cs="Arial"/>
          <w:szCs w:val="22"/>
        </w:rPr>
        <w:t>(</w:t>
      </w:r>
      <w:r w:rsidR="007A234E" w:rsidRPr="007A234E">
        <w:rPr>
          <w:rFonts w:cs="Arial"/>
          <w:szCs w:val="22"/>
        </w:rPr>
        <w:t>£12,096</w:t>
      </w:r>
      <w:r w:rsidR="0095408A">
        <w:rPr>
          <w:rFonts w:cs="Arial"/>
          <w:szCs w:val="22"/>
        </w:rPr>
        <w:t>)</w:t>
      </w:r>
      <w:r w:rsidR="007A234E">
        <w:rPr>
          <w:rFonts w:cs="Arial"/>
          <w:szCs w:val="22"/>
        </w:rPr>
        <w:t xml:space="preserve"> of statement funding as agreed by the SEN manager.</w:t>
      </w:r>
      <w:r w:rsidR="00440E05" w:rsidRPr="00440E05">
        <w:rPr>
          <w:rFonts w:cs="Arial"/>
          <w:szCs w:val="22"/>
        </w:rPr>
        <w:t xml:space="preserve"> </w:t>
      </w:r>
    </w:p>
    <w:p w:rsidR="00FE26F6" w:rsidRDefault="00FE26F6" w:rsidP="00FE26F6">
      <w:pPr>
        <w:pStyle w:val="Header"/>
        <w:tabs>
          <w:tab w:val="clear" w:pos="4153"/>
          <w:tab w:val="clear" w:pos="8306"/>
        </w:tabs>
        <w:rPr>
          <w:rFonts w:cs="Arial"/>
          <w:szCs w:val="22"/>
        </w:rPr>
      </w:pPr>
    </w:p>
    <w:p w:rsidR="00FE26F6" w:rsidRPr="00440E05" w:rsidRDefault="000C420E" w:rsidP="00440E05">
      <w:pPr>
        <w:pStyle w:val="Header"/>
        <w:numPr>
          <w:ilvl w:val="2"/>
          <w:numId w:val="2"/>
        </w:numPr>
        <w:tabs>
          <w:tab w:val="clear" w:pos="4153"/>
          <w:tab w:val="clear" w:pos="8306"/>
        </w:tabs>
        <w:rPr>
          <w:rFonts w:cs="Arial"/>
          <w:szCs w:val="22"/>
        </w:rPr>
      </w:pPr>
      <w:r>
        <w:rPr>
          <w:szCs w:val="24"/>
        </w:rPr>
        <w:t xml:space="preserve">Due to the reduction in numbers of children supported in bases, </w:t>
      </w:r>
      <w:r w:rsidR="00361050">
        <w:rPr>
          <w:szCs w:val="24"/>
        </w:rPr>
        <w:t>t</w:t>
      </w:r>
      <w:r w:rsidR="00415328">
        <w:rPr>
          <w:szCs w:val="24"/>
        </w:rPr>
        <w:t>he overall ARP</w:t>
      </w:r>
      <w:r w:rsidR="00361050">
        <w:rPr>
          <w:szCs w:val="24"/>
        </w:rPr>
        <w:t xml:space="preserve"> budget </w:t>
      </w:r>
      <w:r w:rsidR="00676594">
        <w:rPr>
          <w:szCs w:val="24"/>
        </w:rPr>
        <w:t xml:space="preserve">will </w:t>
      </w:r>
      <w:r>
        <w:rPr>
          <w:szCs w:val="24"/>
        </w:rPr>
        <w:t xml:space="preserve">decrease </w:t>
      </w:r>
      <w:r w:rsidR="00361050">
        <w:rPr>
          <w:szCs w:val="24"/>
        </w:rPr>
        <w:t>by £</w:t>
      </w:r>
      <w:r>
        <w:rPr>
          <w:szCs w:val="24"/>
        </w:rPr>
        <w:t>129</w:t>
      </w:r>
      <w:r w:rsidR="00361050">
        <w:rPr>
          <w:szCs w:val="24"/>
        </w:rPr>
        <w:t>k</w:t>
      </w:r>
      <w:r w:rsidR="000810A7">
        <w:rPr>
          <w:szCs w:val="24"/>
        </w:rPr>
        <w:t xml:space="preserve"> to £2.</w:t>
      </w:r>
      <w:r w:rsidR="00812F9C">
        <w:rPr>
          <w:szCs w:val="24"/>
        </w:rPr>
        <w:t>542</w:t>
      </w:r>
      <w:r w:rsidR="000810A7">
        <w:rPr>
          <w:szCs w:val="24"/>
        </w:rPr>
        <w:t>m</w:t>
      </w:r>
      <w:r w:rsidR="00812F9C">
        <w:rPr>
          <w:szCs w:val="24"/>
        </w:rPr>
        <w:t xml:space="preserve"> in 2017/18</w:t>
      </w:r>
      <w:r w:rsidR="00FE26F6">
        <w:rPr>
          <w:szCs w:val="24"/>
        </w:rPr>
        <w:t xml:space="preserve">. </w:t>
      </w:r>
    </w:p>
    <w:p w:rsidR="00440E05" w:rsidRDefault="00440E05" w:rsidP="004311BB">
      <w:pPr>
        <w:pStyle w:val="Header"/>
        <w:tabs>
          <w:tab w:val="clear" w:pos="4153"/>
          <w:tab w:val="clear" w:pos="8306"/>
        </w:tabs>
        <w:rPr>
          <w:szCs w:val="24"/>
        </w:rPr>
      </w:pPr>
    </w:p>
    <w:p w:rsidR="00D6691C" w:rsidRPr="004311BB" w:rsidRDefault="002711A6" w:rsidP="008D4BA3">
      <w:pPr>
        <w:pStyle w:val="Header"/>
        <w:numPr>
          <w:ilvl w:val="1"/>
          <w:numId w:val="2"/>
        </w:numPr>
        <w:tabs>
          <w:tab w:val="clear" w:pos="4153"/>
          <w:tab w:val="clear" w:pos="8306"/>
        </w:tabs>
        <w:ind w:hanging="720"/>
        <w:rPr>
          <w:b/>
        </w:rPr>
      </w:pPr>
      <w:r>
        <w:rPr>
          <w:b/>
          <w:szCs w:val="24"/>
        </w:rPr>
        <w:t>Pupil Referral Unit</w:t>
      </w:r>
      <w:r w:rsidR="0095408A">
        <w:rPr>
          <w:b/>
          <w:szCs w:val="24"/>
        </w:rPr>
        <w:t xml:space="preserve"> (SMART C</w:t>
      </w:r>
      <w:r w:rsidR="00D6691C" w:rsidRPr="004311BB">
        <w:rPr>
          <w:b/>
          <w:szCs w:val="24"/>
        </w:rPr>
        <w:t>entre)</w:t>
      </w:r>
    </w:p>
    <w:p w:rsidR="004311BB" w:rsidRDefault="004311BB" w:rsidP="004311BB">
      <w:pPr>
        <w:pStyle w:val="Header"/>
        <w:tabs>
          <w:tab w:val="clear" w:pos="4153"/>
          <w:tab w:val="clear" w:pos="8306"/>
        </w:tabs>
        <w:rPr>
          <w:szCs w:val="24"/>
        </w:rPr>
      </w:pPr>
    </w:p>
    <w:p w:rsidR="00FE26F6" w:rsidRPr="006E21BE" w:rsidRDefault="00FE26F6" w:rsidP="006E21BE">
      <w:pPr>
        <w:pStyle w:val="BodyTextIndent"/>
        <w:numPr>
          <w:ilvl w:val="2"/>
          <w:numId w:val="2"/>
        </w:numPr>
        <w:spacing w:after="0"/>
        <w:rPr>
          <w:rFonts w:ascii="Arial" w:hAnsi="Arial"/>
        </w:rPr>
      </w:pPr>
      <w:r w:rsidRPr="00FE26F6">
        <w:rPr>
          <w:rFonts w:ascii="Arial" w:hAnsi="Arial"/>
        </w:rPr>
        <w:t>The PRU will receive a base level of funding of £</w:t>
      </w:r>
      <w:r w:rsidR="00361050">
        <w:rPr>
          <w:rFonts w:ascii="Arial" w:hAnsi="Arial"/>
        </w:rPr>
        <w:t>10</w:t>
      </w:r>
      <w:r w:rsidRPr="00FE26F6">
        <w:rPr>
          <w:rFonts w:ascii="Arial" w:hAnsi="Arial"/>
        </w:rPr>
        <w:t>,000 per place. Top-up funding</w:t>
      </w:r>
      <w:r w:rsidR="00D65A64">
        <w:rPr>
          <w:rFonts w:ascii="Arial" w:hAnsi="Arial"/>
        </w:rPr>
        <w:t xml:space="preserve"> </w:t>
      </w:r>
      <w:r w:rsidR="000810A7">
        <w:rPr>
          <w:rFonts w:ascii="Arial" w:hAnsi="Arial"/>
        </w:rPr>
        <w:t>above this level</w:t>
      </w:r>
      <w:r w:rsidRPr="00FE26F6">
        <w:rPr>
          <w:rFonts w:ascii="Arial" w:hAnsi="Arial"/>
        </w:rPr>
        <w:t xml:space="preserve"> </w:t>
      </w:r>
      <w:r w:rsidR="000810A7">
        <w:rPr>
          <w:rFonts w:ascii="Arial" w:hAnsi="Arial"/>
        </w:rPr>
        <w:t>is</w:t>
      </w:r>
      <w:r w:rsidR="006E21BE">
        <w:rPr>
          <w:rFonts w:ascii="Arial" w:hAnsi="Arial"/>
        </w:rPr>
        <w:t xml:space="preserve"> set at £6,504</w:t>
      </w:r>
      <w:r w:rsidR="00361050">
        <w:rPr>
          <w:rFonts w:ascii="Arial" w:hAnsi="Arial"/>
        </w:rPr>
        <w:t xml:space="preserve"> which</w:t>
      </w:r>
      <w:r w:rsidR="006E21BE">
        <w:rPr>
          <w:rFonts w:ascii="Arial" w:hAnsi="Arial"/>
        </w:rPr>
        <w:t xml:space="preserve"> has been </w:t>
      </w:r>
      <w:r w:rsidR="006E21BE">
        <w:rPr>
          <w:rFonts w:ascii="Arial" w:hAnsi="Arial"/>
          <w:szCs w:val="20"/>
        </w:rPr>
        <w:t>uplifted this year to take account of the additional £1.43 cost to schools for school improvement, £23.11 for the statutory central education function reduction</w:t>
      </w:r>
      <w:r w:rsidR="000810A7">
        <w:rPr>
          <w:rFonts w:ascii="Arial" w:hAnsi="Arial"/>
        </w:rPr>
        <w:t>.</w:t>
      </w:r>
    </w:p>
    <w:p w:rsidR="00EA5B83" w:rsidRDefault="00EA5B83" w:rsidP="00EA5B83">
      <w:pPr>
        <w:pStyle w:val="BodyTextIndent"/>
        <w:spacing w:after="0"/>
        <w:ind w:left="0"/>
        <w:rPr>
          <w:rFonts w:ascii="Arial" w:hAnsi="Arial"/>
        </w:rPr>
      </w:pPr>
    </w:p>
    <w:p w:rsidR="00FE26F6" w:rsidRDefault="00EA5B83" w:rsidP="00FE26F6">
      <w:pPr>
        <w:pStyle w:val="BodyTextIndent"/>
        <w:numPr>
          <w:ilvl w:val="2"/>
          <w:numId w:val="2"/>
        </w:numPr>
        <w:spacing w:after="0"/>
        <w:rPr>
          <w:rFonts w:ascii="Arial" w:hAnsi="Arial"/>
        </w:rPr>
      </w:pPr>
      <w:r w:rsidRPr="00EA5B83">
        <w:rPr>
          <w:rFonts w:ascii="Arial" w:hAnsi="Arial"/>
        </w:rPr>
        <w:t>Mainstream schools and Academies have important commissioning responsibilities with regard to pupils of compulsory school age who are placed in Alternative Provision for the purpose of early intervention or as a result of fixed-term exclusion. In such instances, under the new funding arrangements, mainstream schools and Academies will be responsible for paying top-up funding to the AP settings in which they place pupils.</w:t>
      </w:r>
    </w:p>
    <w:p w:rsidR="00EA5B83" w:rsidRDefault="00EA5B83" w:rsidP="00EA5B83">
      <w:pPr>
        <w:pStyle w:val="BodyTextIndent"/>
        <w:spacing w:after="0"/>
        <w:ind w:left="0"/>
        <w:rPr>
          <w:rFonts w:ascii="Arial" w:hAnsi="Arial"/>
        </w:rPr>
      </w:pPr>
    </w:p>
    <w:p w:rsidR="00FE26F6" w:rsidRDefault="009D6C1C" w:rsidP="00EA5B83">
      <w:pPr>
        <w:pStyle w:val="BodyTextIndent"/>
        <w:numPr>
          <w:ilvl w:val="2"/>
          <w:numId w:val="2"/>
        </w:numPr>
        <w:spacing w:after="0"/>
        <w:rPr>
          <w:rFonts w:ascii="Arial" w:hAnsi="Arial"/>
        </w:rPr>
      </w:pPr>
      <w:r>
        <w:rPr>
          <w:rFonts w:ascii="Arial" w:hAnsi="Arial"/>
        </w:rPr>
        <w:t>A</w:t>
      </w:r>
      <w:r w:rsidR="00EA5B83" w:rsidRPr="00EA5B83">
        <w:rPr>
          <w:rFonts w:ascii="Arial" w:hAnsi="Arial"/>
        </w:rPr>
        <w:t xml:space="preserve">lternative education </w:t>
      </w:r>
      <w:r w:rsidR="00361050">
        <w:rPr>
          <w:rFonts w:ascii="Arial" w:hAnsi="Arial"/>
        </w:rPr>
        <w:t xml:space="preserve">and medical </w:t>
      </w:r>
      <w:r>
        <w:rPr>
          <w:rFonts w:ascii="Arial" w:hAnsi="Arial"/>
        </w:rPr>
        <w:t xml:space="preserve">service </w:t>
      </w:r>
      <w:r w:rsidR="00EA5B83" w:rsidRPr="00EA5B83">
        <w:rPr>
          <w:rFonts w:ascii="Arial" w:hAnsi="Arial"/>
        </w:rPr>
        <w:t>provision</w:t>
      </w:r>
      <w:r w:rsidR="00361050">
        <w:rPr>
          <w:rFonts w:ascii="Arial" w:hAnsi="Arial"/>
        </w:rPr>
        <w:t xml:space="preserve"> are</w:t>
      </w:r>
      <w:r>
        <w:rPr>
          <w:rFonts w:ascii="Arial" w:hAnsi="Arial"/>
        </w:rPr>
        <w:t xml:space="preserve"> also </w:t>
      </w:r>
      <w:r w:rsidR="00EA5B83" w:rsidRPr="00EA5B83">
        <w:rPr>
          <w:rFonts w:ascii="Arial" w:hAnsi="Arial"/>
        </w:rPr>
        <w:t>deliver</w:t>
      </w:r>
      <w:r>
        <w:rPr>
          <w:rFonts w:ascii="Arial" w:hAnsi="Arial"/>
        </w:rPr>
        <w:t>ed</w:t>
      </w:r>
      <w:r w:rsidR="0095408A">
        <w:rPr>
          <w:rFonts w:ascii="Arial" w:hAnsi="Arial"/>
        </w:rPr>
        <w:t xml:space="preserve"> through the SMART C</w:t>
      </w:r>
      <w:r w:rsidR="00EA5B83" w:rsidRPr="00EA5B83">
        <w:rPr>
          <w:rFonts w:ascii="Arial" w:hAnsi="Arial"/>
        </w:rPr>
        <w:t>entre.</w:t>
      </w:r>
    </w:p>
    <w:p w:rsidR="00EA5B83" w:rsidRDefault="00EA5B83" w:rsidP="00EA5B83">
      <w:pPr>
        <w:pStyle w:val="BodyTextIndent"/>
        <w:spacing w:after="0"/>
        <w:ind w:left="0"/>
        <w:rPr>
          <w:rFonts w:ascii="Arial" w:hAnsi="Arial"/>
        </w:rPr>
      </w:pPr>
    </w:p>
    <w:p w:rsidR="00EA5B83" w:rsidRPr="00EA5B83" w:rsidRDefault="00EA5B83" w:rsidP="00EA5B83">
      <w:pPr>
        <w:pStyle w:val="BodyTextIndent"/>
        <w:numPr>
          <w:ilvl w:val="2"/>
          <w:numId w:val="2"/>
        </w:numPr>
        <w:spacing w:after="0"/>
        <w:rPr>
          <w:rFonts w:ascii="Arial" w:hAnsi="Arial"/>
        </w:rPr>
      </w:pPr>
      <w:r w:rsidRPr="00EA5B83">
        <w:rPr>
          <w:rFonts w:ascii="Arial" w:hAnsi="Arial"/>
        </w:rPr>
        <w:t xml:space="preserve">The exclusion process currently involves a deduction of AWPU against a national criteria and a local agreement to pay £3,000 per excluded pupil and receive £3,000 for a re-integrated pupil. This agreement is between all secondary </w:t>
      </w:r>
      <w:r>
        <w:rPr>
          <w:rFonts w:ascii="Arial" w:hAnsi="Arial"/>
        </w:rPr>
        <w:t xml:space="preserve">maintained </w:t>
      </w:r>
      <w:r w:rsidRPr="00EA5B83">
        <w:rPr>
          <w:rFonts w:ascii="Arial" w:hAnsi="Arial"/>
        </w:rPr>
        <w:t xml:space="preserve">schools </w:t>
      </w:r>
      <w:r>
        <w:rPr>
          <w:rFonts w:ascii="Arial" w:hAnsi="Arial"/>
        </w:rPr>
        <w:t>a</w:t>
      </w:r>
      <w:r w:rsidR="002711A6">
        <w:rPr>
          <w:rFonts w:ascii="Arial" w:hAnsi="Arial"/>
        </w:rPr>
        <w:t>nd academies</w:t>
      </w:r>
      <w:r>
        <w:rPr>
          <w:rFonts w:ascii="Arial" w:hAnsi="Arial"/>
        </w:rPr>
        <w:t xml:space="preserve"> and </w:t>
      </w:r>
      <w:r w:rsidR="00D0220D">
        <w:rPr>
          <w:rFonts w:ascii="Arial" w:hAnsi="Arial"/>
        </w:rPr>
        <w:t>will continue in 201</w:t>
      </w:r>
      <w:r w:rsidR="006E21BE">
        <w:rPr>
          <w:rFonts w:ascii="Arial" w:hAnsi="Arial"/>
        </w:rPr>
        <w:t>7/18</w:t>
      </w:r>
      <w:r>
        <w:rPr>
          <w:rFonts w:ascii="Arial" w:hAnsi="Arial"/>
        </w:rPr>
        <w:t>.</w:t>
      </w:r>
    </w:p>
    <w:p w:rsidR="004311BB" w:rsidRPr="00D6691C" w:rsidRDefault="004311BB" w:rsidP="004311BB">
      <w:pPr>
        <w:pStyle w:val="Header"/>
        <w:tabs>
          <w:tab w:val="clear" w:pos="4153"/>
          <w:tab w:val="clear" w:pos="8306"/>
        </w:tabs>
      </w:pPr>
    </w:p>
    <w:p w:rsidR="00D6691C" w:rsidRPr="004311BB" w:rsidRDefault="00D6691C" w:rsidP="008D4BA3">
      <w:pPr>
        <w:pStyle w:val="Header"/>
        <w:numPr>
          <w:ilvl w:val="1"/>
          <w:numId w:val="2"/>
        </w:numPr>
        <w:tabs>
          <w:tab w:val="clear" w:pos="4153"/>
          <w:tab w:val="clear" w:pos="8306"/>
        </w:tabs>
        <w:ind w:hanging="720"/>
        <w:rPr>
          <w:b/>
        </w:rPr>
      </w:pPr>
      <w:r w:rsidRPr="004311BB">
        <w:rPr>
          <w:b/>
          <w:szCs w:val="24"/>
        </w:rPr>
        <w:t>Centrally retained funding for commissioned services</w:t>
      </w:r>
    </w:p>
    <w:p w:rsidR="004311BB" w:rsidRDefault="004311BB" w:rsidP="004311BB">
      <w:pPr>
        <w:pStyle w:val="Header"/>
        <w:tabs>
          <w:tab w:val="clear" w:pos="4153"/>
          <w:tab w:val="clear" w:pos="8306"/>
        </w:tabs>
        <w:rPr>
          <w:szCs w:val="24"/>
        </w:rPr>
      </w:pPr>
    </w:p>
    <w:p w:rsidR="00EA5B83" w:rsidRPr="00361050" w:rsidRDefault="00EA5B83" w:rsidP="00EA5B83">
      <w:pPr>
        <w:pStyle w:val="Header"/>
        <w:numPr>
          <w:ilvl w:val="2"/>
          <w:numId w:val="2"/>
        </w:numPr>
        <w:tabs>
          <w:tab w:val="clear" w:pos="4153"/>
          <w:tab w:val="clear" w:pos="8306"/>
        </w:tabs>
        <w:rPr>
          <w:szCs w:val="24"/>
        </w:rPr>
      </w:pPr>
      <w:r w:rsidRPr="002711A6">
        <w:rPr>
          <w:rFonts w:cs="Arial"/>
          <w:szCs w:val="22"/>
        </w:rPr>
        <w:t>These services are retained centrally by the Local Authority to deliver direct services or procure services from external providers to ensure the most economic use of resources. The table below details these services.</w:t>
      </w:r>
    </w:p>
    <w:p w:rsidR="00361050" w:rsidRPr="002711A6" w:rsidRDefault="00361050" w:rsidP="00361050">
      <w:pPr>
        <w:pStyle w:val="Header"/>
        <w:tabs>
          <w:tab w:val="clear" w:pos="4153"/>
          <w:tab w:val="clear" w:pos="8306"/>
        </w:tabs>
        <w:rPr>
          <w:szCs w:val="24"/>
        </w:rPr>
      </w:pP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9"/>
        <w:gridCol w:w="1276"/>
        <w:gridCol w:w="1276"/>
      </w:tblGrid>
      <w:tr w:rsidR="006E21BE" w:rsidRPr="006E21BE" w:rsidTr="006E21BE">
        <w:tc>
          <w:tcPr>
            <w:tcW w:w="5659" w:type="dxa"/>
            <w:shd w:val="clear" w:color="auto" w:fill="00B050"/>
          </w:tcPr>
          <w:p w:rsidR="006E21BE" w:rsidRPr="006E21BE" w:rsidRDefault="006E21BE" w:rsidP="00BB5E44">
            <w:pPr>
              <w:pStyle w:val="BodyTextIndent3"/>
              <w:ind w:left="0"/>
              <w:jc w:val="both"/>
              <w:rPr>
                <w:b/>
                <w:color w:val="FFFFFF" w:themeColor="background1"/>
                <w:sz w:val="24"/>
                <w:szCs w:val="24"/>
              </w:rPr>
            </w:pPr>
          </w:p>
          <w:p w:rsidR="006E21BE" w:rsidRPr="006E21BE" w:rsidRDefault="006E21BE" w:rsidP="00BB5E44">
            <w:pPr>
              <w:pStyle w:val="BodyTextIndent3"/>
              <w:ind w:left="0"/>
              <w:jc w:val="both"/>
              <w:rPr>
                <w:b/>
                <w:color w:val="FFFFFF" w:themeColor="background1"/>
                <w:sz w:val="24"/>
                <w:szCs w:val="24"/>
              </w:rPr>
            </w:pPr>
            <w:r w:rsidRPr="006E21BE">
              <w:rPr>
                <w:b/>
                <w:color w:val="FFFFFF" w:themeColor="background1"/>
                <w:sz w:val="24"/>
                <w:szCs w:val="24"/>
              </w:rPr>
              <w:t>Description</w:t>
            </w:r>
          </w:p>
        </w:tc>
        <w:tc>
          <w:tcPr>
            <w:tcW w:w="1276" w:type="dxa"/>
            <w:shd w:val="clear" w:color="auto" w:fill="00B050"/>
          </w:tcPr>
          <w:p w:rsidR="006E21BE" w:rsidRPr="006E21BE" w:rsidRDefault="006E21BE" w:rsidP="00435731">
            <w:pPr>
              <w:pStyle w:val="BodyTextIndent3"/>
              <w:ind w:left="0"/>
              <w:jc w:val="right"/>
              <w:rPr>
                <w:b/>
                <w:color w:val="FFFFFF" w:themeColor="background1"/>
                <w:sz w:val="24"/>
                <w:szCs w:val="24"/>
              </w:rPr>
            </w:pPr>
            <w:r w:rsidRPr="006E21BE">
              <w:rPr>
                <w:b/>
                <w:color w:val="FFFFFF" w:themeColor="background1"/>
                <w:sz w:val="24"/>
                <w:szCs w:val="24"/>
              </w:rPr>
              <w:t>2016/17</w:t>
            </w:r>
          </w:p>
          <w:p w:rsidR="006E21BE" w:rsidRPr="006E21BE" w:rsidRDefault="006E21BE" w:rsidP="00435731">
            <w:pPr>
              <w:pStyle w:val="BodyTextIndent3"/>
              <w:ind w:left="0"/>
              <w:jc w:val="right"/>
              <w:rPr>
                <w:b/>
                <w:color w:val="FFFFFF" w:themeColor="background1"/>
                <w:sz w:val="24"/>
                <w:szCs w:val="24"/>
              </w:rPr>
            </w:pPr>
            <w:r w:rsidRPr="006E21BE">
              <w:rPr>
                <w:b/>
                <w:color w:val="FFFFFF" w:themeColor="background1"/>
                <w:sz w:val="24"/>
                <w:szCs w:val="24"/>
              </w:rPr>
              <w:t>£000</w:t>
            </w:r>
          </w:p>
        </w:tc>
        <w:tc>
          <w:tcPr>
            <w:tcW w:w="1276" w:type="dxa"/>
            <w:shd w:val="clear" w:color="auto" w:fill="00B050"/>
          </w:tcPr>
          <w:p w:rsidR="006E21BE" w:rsidRPr="006E21BE" w:rsidRDefault="006E21BE" w:rsidP="003964BC">
            <w:pPr>
              <w:pStyle w:val="BodyTextIndent3"/>
              <w:ind w:left="0"/>
              <w:jc w:val="right"/>
              <w:rPr>
                <w:b/>
                <w:color w:val="FFFFFF" w:themeColor="background1"/>
                <w:sz w:val="24"/>
                <w:szCs w:val="24"/>
              </w:rPr>
            </w:pPr>
            <w:r w:rsidRPr="006E21BE">
              <w:rPr>
                <w:b/>
                <w:color w:val="FFFFFF" w:themeColor="background1"/>
                <w:sz w:val="24"/>
                <w:szCs w:val="24"/>
              </w:rPr>
              <w:t>2016/17</w:t>
            </w:r>
          </w:p>
          <w:p w:rsidR="006E21BE" w:rsidRPr="006E21BE" w:rsidRDefault="006E21BE" w:rsidP="003964BC">
            <w:pPr>
              <w:pStyle w:val="BodyTextIndent3"/>
              <w:ind w:left="0"/>
              <w:jc w:val="right"/>
              <w:rPr>
                <w:b/>
                <w:color w:val="FFFFFF" w:themeColor="background1"/>
                <w:sz w:val="24"/>
                <w:szCs w:val="24"/>
              </w:rPr>
            </w:pPr>
            <w:r w:rsidRPr="006E21BE">
              <w:rPr>
                <w:b/>
                <w:color w:val="FFFFFF" w:themeColor="background1"/>
                <w:sz w:val="24"/>
                <w:szCs w:val="24"/>
              </w:rPr>
              <w:t>£000</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6E21BE" w:rsidP="00BB5E44">
            <w:pPr>
              <w:pStyle w:val="BodyTextIndent3"/>
              <w:ind w:left="0"/>
              <w:jc w:val="both"/>
              <w:rPr>
                <w:sz w:val="24"/>
                <w:szCs w:val="22"/>
              </w:rPr>
            </w:pPr>
            <w:r w:rsidRPr="00E00B3F">
              <w:rPr>
                <w:sz w:val="24"/>
                <w:szCs w:val="22"/>
              </w:rPr>
              <w:t>Non-Delegated Statements</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064660" w:rsidP="005A64DD">
            <w:pPr>
              <w:pStyle w:val="BodyTextIndent3"/>
              <w:ind w:left="0"/>
              <w:jc w:val="right"/>
              <w:rPr>
                <w:sz w:val="24"/>
                <w:szCs w:val="22"/>
              </w:rPr>
            </w:pPr>
            <w:r>
              <w:rPr>
                <w:sz w:val="24"/>
                <w:szCs w:val="22"/>
              </w:rPr>
              <w:t>9,532</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8,921</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6E21BE" w:rsidP="00BB5E44">
            <w:pPr>
              <w:pStyle w:val="BodyTextIndent3"/>
              <w:ind w:left="0"/>
              <w:jc w:val="both"/>
              <w:rPr>
                <w:sz w:val="24"/>
                <w:szCs w:val="22"/>
              </w:rPr>
            </w:pPr>
            <w:r w:rsidRPr="00E00B3F">
              <w:rPr>
                <w:sz w:val="24"/>
                <w:szCs w:val="22"/>
              </w:rPr>
              <w:t>Cost of Merton pupils in other LA maintained schools</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435731">
            <w:pPr>
              <w:pStyle w:val="BodyTextIndent3"/>
              <w:ind w:left="0"/>
              <w:jc w:val="right"/>
              <w:rPr>
                <w:sz w:val="24"/>
                <w:szCs w:val="22"/>
              </w:rPr>
            </w:pPr>
            <w:r>
              <w:rPr>
                <w:sz w:val="24"/>
                <w:szCs w:val="22"/>
              </w:rPr>
              <w:t>2,</w:t>
            </w:r>
            <w:r w:rsidR="00064660">
              <w:rPr>
                <w:sz w:val="24"/>
                <w:szCs w:val="22"/>
              </w:rPr>
              <w:t>313</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2,069</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064660" w:rsidP="00BB5E44">
            <w:pPr>
              <w:pStyle w:val="BodyTextIndent3"/>
              <w:ind w:left="0"/>
              <w:jc w:val="both"/>
              <w:rPr>
                <w:sz w:val="24"/>
                <w:szCs w:val="22"/>
              </w:rPr>
            </w:pPr>
            <w:r>
              <w:rPr>
                <w:sz w:val="24"/>
                <w:szCs w:val="22"/>
              </w:rPr>
              <w:t>Cost to</w:t>
            </w:r>
            <w:r w:rsidR="006E21BE" w:rsidRPr="00E00B3F">
              <w:rPr>
                <w:sz w:val="24"/>
                <w:szCs w:val="22"/>
              </w:rPr>
              <w:t xml:space="preserve"> other  LA</w:t>
            </w:r>
            <w:r>
              <w:rPr>
                <w:sz w:val="24"/>
                <w:szCs w:val="22"/>
              </w:rPr>
              <w:t>s for their</w:t>
            </w:r>
            <w:r w:rsidR="006E21BE" w:rsidRPr="00E00B3F">
              <w:rPr>
                <w:sz w:val="24"/>
                <w:szCs w:val="22"/>
              </w:rPr>
              <w:t xml:space="preserve"> children in Merton maintained schools</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F72EB6">
            <w:pPr>
              <w:pStyle w:val="BodyTextIndent3"/>
              <w:ind w:left="0"/>
              <w:jc w:val="right"/>
              <w:rPr>
                <w:sz w:val="24"/>
                <w:szCs w:val="22"/>
              </w:rPr>
            </w:pPr>
            <w:r>
              <w:rPr>
                <w:sz w:val="24"/>
                <w:szCs w:val="22"/>
              </w:rPr>
              <w:t>(1,159</w:t>
            </w:r>
            <w:r w:rsidRPr="00E00B3F">
              <w:rPr>
                <w:sz w:val="24"/>
                <w:szCs w:val="22"/>
              </w:rPr>
              <w:t>)</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(1,159</w:t>
            </w:r>
            <w:r w:rsidRPr="00E00B3F">
              <w:rPr>
                <w:sz w:val="24"/>
                <w:szCs w:val="22"/>
              </w:rPr>
              <w:t>)</w:t>
            </w:r>
          </w:p>
        </w:tc>
      </w:tr>
      <w:tr w:rsidR="009E1D80" w:rsidTr="003964BC">
        <w:tc>
          <w:tcPr>
            <w:tcW w:w="5659" w:type="dxa"/>
            <w:shd w:val="clear" w:color="auto" w:fill="auto"/>
          </w:tcPr>
          <w:p w:rsidR="009E1D80" w:rsidRPr="00E00B3F" w:rsidRDefault="009E1D80" w:rsidP="003964BC">
            <w:pPr>
              <w:pStyle w:val="BodyTextIndent3"/>
              <w:ind w:left="0"/>
              <w:jc w:val="both"/>
              <w:rPr>
                <w:sz w:val="24"/>
                <w:szCs w:val="22"/>
              </w:rPr>
            </w:pPr>
            <w:r w:rsidRPr="00E00B3F">
              <w:rPr>
                <w:sz w:val="24"/>
                <w:szCs w:val="22"/>
              </w:rPr>
              <w:t>Sensory Team</w:t>
            </w:r>
          </w:p>
        </w:tc>
        <w:tc>
          <w:tcPr>
            <w:tcW w:w="1276" w:type="dxa"/>
          </w:tcPr>
          <w:p w:rsidR="009E1D80" w:rsidRPr="00E00B3F" w:rsidRDefault="009E1D80" w:rsidP="003964BC">
            <w:pPr>
              <w:pStyle w:val="BodyTextIndent3"/>
              <w:ind w:left="0"/>
              <w:jc w:val="right"/>
              <w:rPr>
                <w:sz w:val="24"/>
                <w:szCs w:val="22"/>
              </w:rPr>
            </w:pPr>
            <w:r>
              <w:rPr>
                <w:sz w:val="24"/>
                <w:szCs w:val="22"/>
              </w:rPr>
              <w:t>392</w:t>
            </w:r>
          </w:p>
        </w:tc>
        <w:tc>
          <w:tcPr>
            <w:tcW w:w="1276" w:type="dxa"/>
          </w:tcPr>
          <w:p w:rsidR="009E1D80" w:rsidRPr="00E00B3F" w:rsidRDefault="009E1D80" w:rsidP="003964BC">
            <w:pPr>
              <w:pStyle w:val="BodyTextIndent3"/>
              <w:ind w:left="0"/>
              <w:jc w:val="right"/>
              <w:rPr>
                <w:sz w:val="24"/>
                <w:szCs w:val="22"/>
              </w:rPr>
            </w:pPr>
            <w:r>
              <w:rPr>
                <w:sz w:val="24"/>
                <w:szCs w:val="22"/>
              </w:rPr>
              <w:t>376</w:t>
            </w:r>
          </w:p>
        </w:tc>
      </w:tr>
      <w:tr w:rsidR="009E1D80" w:rsidTr="003964BC">
        <w:tc>
          <w:tcPr>
            <w:tcW w:w="5659" w:type="dxa"/>
            <w:shd w:val="clear" w:color="auto" w:fill="auto"/>
          </w:tcPr>
          <w:p w:rsidR="009E1D80" w:rsidRPr="00E00B3F" w:rsidRDefault="009E1D80" w:rsidP="003964BC">
            <w:pPr>
              <w:pStyle w:val="BodyTextIndent3"/>
              <w:ind w:left="0"/>
              <w:jc w:val="both"/>
              <w:rPr>
                <w:sz w:val="24"/>
                <w:szCs w:val="22"/>
              </w:rPr>
            </w:pPr>
            <w:r w:rsidRPr="00E00B3F">
              <w:rPr>
                <w:sz w:val="24"/>
                <w:szCs w:val="22"/>
              </w:rPr>
              <w:t>Virtual School</w:t>
            </w:r>
          </w:p>
        </w:tc>
        <w:tc>
          <w:tcPr>
            <w:tcW w:w="1276" w:type="dxa"/>
          </w:tcPr>
          <w:p w:rsidR="009E1D80" w:rsidRPr="00E00B3F" w:rsidRDefault="009E1D80" w:rsidP="003964BC">
            <w:pPr>
              <w:pStyle w:val="BodyTextIndent3"/>
              <w:ind w:left="0"/>
              <w:jc w:val="right"/>
              <w:rPr>
                <w:sz w:val="24"/>
                <w:szCs w:val="22"/>
              </w:rPr>
            </w:pPr>
            <w:r>
              <w:rPr>
                <w:sz w:val="24"/>
                <w:szCs w:val="22"/>
              </w:rPr>
              <w:t>373</w:t>
            </w:r>
          </w:p>
        </w:tc>
        <w:tc>
          <w:tcPr>
            <w:tcW w:w="1276" w:type="dxa"/>
          </w:tcPr>
          <w:p w:rsidR="009E1D80" w:rsidRPr="00E00B3F" w:rsidRDefault="009E1D80" w:rsidP="003964BC">
            <w:pPr>
              <w:pStyle w:val="BodyTextIndent3"/>
              <w:ind w:left="0"/>
              <w:jc w:val="right"/>
              <w:rPr>
                <w:sz w:val="24"/>
                <w:szCs w:val="22"/>
              </w:rPr>
            </w:pPr>
            <w:r>
              <w:rPr>
                <w:sz w:val="24"/>
                <w:szCs w:val="22"/>
              </w:rPr>
              <w:t>361</w:t>
            </w:r>
          </w:p>
        </w:tc>
      </w:tr>
      <w:tr w:rsidR="009E1D80" w:rsidRPr="0031310D" w:rsidTr="003964BC">
        <w:tc>
          <w:tcPr>
            <w:tcW w:w="5659" w:type="dxa"/>
            <w:shd w:val="clear" w:color="auto" w:fill="auto"/>
          </w:tcPr>
          <w:p w:rsidR="009E1D80" w:rsidRPr="00E00B3F" w:rsidRDefault="009E1D80" w:rsidP="003964BC">
            <w:pPr>
              <w:pStyle w:val="BodyTextIndent3"/>
              <w:ind w:left="0"/>
              <w:jc w:val="both"/>
              <w:rPr>
                <w:sz w:val="24"/>
                <w:szCs w:val="22"/>
              </w:rPr>
            </w:pPr>
            <w:r w:rsidRPr="00E00B3F">
              <w:rPr>
                <w:sz w:val="24"/>
                <w:szCs w:val="22"/>
              </w:rPr>
              <w:t>SSQ Core Offer</w:t>
            </w:r>
          </w:p>
        </w:tc>
        <w:tc>
          <w:tcPr>
            <w:tcW w:w="1276" w:type="dxa"/>
          </w:tcPr>
          <w:p w:rsidR="009E1D80" w:rsidRPr="00E00B3F" w:rsidRDefault="009E1D80" w:rsidP="003964BC">
            <w:pPr>
              <w:pStyle w:val="BodyTextIndent3"/>
              <w:ind w:left="0"/>
              <w:jc w:val="right"/>
              <w:rPr>
                <w:sz w:val="24"/>
                <w:szCs w:val="22"/>
              </w:rPr>
            </w:pPr>
            <w:r>
              <w:rPr>
                <w:sz w:val="24"/>
                <w:szCs w:val="22"/>
              </w:rPr>
              <w:t>359</w:t>
            </w:r>
          </w:p>
        </w:tc>
        <w:tc>
          <w:tcPr>
            <w:tcW w:w="1276" w:type="dxa"/>
          </w:tcPr>
          <w:p w:rsidR="009E1D80" w:rsidRPr="00E00B3F" w:rsidRDefault="009E1D80" w:rsidP="003964BC">
            <w:pPr>
              <w:pStyle w:val="BodyTextIndent3"/>
              <w:ind w:left="0"/>
              <w:jc w:val="right"/>
              <w:rPr>
                <w:sz w:val="24"/>
                <w:szCs w:val="22"/>
              </w:rPr>
            </w:pPr>
            <w:r>
              <w:rPr>
                <w:sz w:val="24"/>
                <w:szCs w:val="22"/>
              </w:rPr>
              <w:t>350</w:t>
            </w:r>
          </w:p>
        </w:tc>
      </w:tr>
      <w:tr w:rsidR="006E21BE" w:rsidTr="006E21BE">
        <w:tc>
          <w:tcPr>
            <w:tcW w:w="5659" w:type="dxa"/>
            <w:shd w:val="clear" w:color="auto" w:fill="auto"/>
          </w:tcPr>
          <w:p w:rsidR="006E21BE" w:rsidRPr="00E00B3F" w:rsidRDefault="006E21BE" w:rsidP="00736EDE">
            <w:pPr>
              <w:pStyle w:val="BodyTextIndent3"/>
              <w:ind w:left="0"/>
              <w:jc w:val="both"/>
              <w:rPr>
                <w:sz w:val="24"/>
                <w:szCs w:val="22"/>
              </w:rPr>
            </w:pPr>
            <w:r w:rsidRPr="00E00B3F">
              <w:rPr>
                <w:sz w:val="24"/>
                <w:szCs w:val="22"/>
              </w:rPr>
              <w:t>Language and Learning</w:t>
            </w:r>
            <w:r>
              <w:rPr>
                <w:sz w:val="24"/>
                <w:szCs w:val="22"/>
              </w:rPr>
              <w:t xml:space="preserve"> therapy</w:t>
            </w:r>
          </w:p>
        </w:tc>
        <w:tc>
          <w:tcPr>
            <w:tcW w:w="1276" w:type="dxa"/>
          </w:tcPr>
          <w:p w:rsidR="006E21BE" w:rsidRPr="00E00B3F" w:rsidRDefault="00064660" w:rsidP="00736EDE">
            <w:pPr>
              <w:pStyle w:val="BodyTextIndent3"/>
              <w:ind w:left="0"/>
              <w:jc w:val="right"/>
              <w:rPr>
                <w:sz w:val="24"/>
                <w:szCs w:val="22"/>
              </w:rPr>
            </w:pPr>
            <w:r>
              <w:rPr>
                <w:sz w:val="24"/>
                <w:szCs w:val="22"/>
              </w:rPr>
              <w:t>354</w:t>
            </w:r>
          </w:p>
        </w:tc>
        <w:tc>
          <w:tcPr>
            <w:tcW w:w="1276" w:type="dxa"/>
          </w:tcPr>
          <w:p w:rsidR="006E21BE" w:rsidRPr="00E00B3F" w:rsidRDefault="006E21BE" w:rsidP="003964BC">
            <w:pPr>
              <w:pStyle w:val="BodyTextIndent3"/>
              <w:ind w:left="0"/>
              <w:jc w:val="right"/>
              <w:rPr>
                <w:sz w:val="24"/>
                <w:szCs w:val="22"/>
              </w:rPr>
            </w:pPr>
            <w:r>
              <w:rPr>
                <w:sz w:val="24"/>
                <w:szCs w:val="22"/>
              </w:rPr>
              <w:t>635</w:t>
            </w:r>
          </w:p>
        </w:tc>
      </w:tr>
      <w:tr w:rsidR="009E1D80" w:rsidTr="003964BC">
        <w:tc>
          <w:tcPr>
            <w:tcW w:w="5659" w:type="dxa"/>
            <w:shd w:val="clear" w:color="auto" w:fill="auto"/>
          </w:tcPr>
          <w:p w:rsidR="009E1D80" w:rsidRPr="00E00B3F" w:rsidRDefault="009E1D80" w:rsidP="003964BC">
            <w:pPr>
              <w:jc w:val="both"/>
              <w:rPr>
                <w:rFonts w:ascii="Arial" w:hAnsi="Arial" w:cs="Arial"/>
                <w:szCs w:val="22"/>
              </w:rPr>
            </w:pPr>
            <w:r>
              <w:rPr>
                <w:rFonts w:ascii="Arial" w:hAnsi="Arial" w:cs="Arial"/>
                <w:szCs w:val="22"/>
              </w:rPr>
              <w:t>Education psychology</w:t>
            </w:r>
          </w:p>
        </w:tc>
        <w:tc>
          <w:tcPr>
            <w:tcW w:w="1276" w:type="dxa"/>
          </w:tcPr>
          <w:p w:rsidR="009E1D80" w:rsidRPr="00E00B3F" w:rsidRDefault="009E1D80" w:rsidP="003964BC">
            <w:pPr>
              <w:pStyle w:val="BodyTextIndent3"/>
              <w:ind w:left="0"/>
              <w:jc w:val="right"/>
              <w:rPr>
                <w:sz w:val="24"/>
                <w:szCs w:val="22"/>
              </w:rPr>
            </w:pPr>
            <w:r>
              <w:rPr>
                <w:sz w:val="24"/>
                <w:szCs w:val="22"/>
              </w:rPr>
              <w:t>266</w:t>
            </w:r>
          </w:p>
        </w:tc>
        <w:tc>
          <w:tcPr>
            <w:tcW w:w="1276" w:type="dxa"/>
          </w:tcPr>
          <w:p w:rsidR="009E1D80" w:rsidRPr="00E00B3F" w:rsidRDefault="009E1D80" w:rsidP="003964BC">
            <w:pPr>
              <w:pStyle w:val="BodyTextIndent3"/>
              <w:ind w:left="0"/>
              <w:jc w:val="right"/>
              <w:rPr>
                <w:sz w:val="24"/>
                <w:szCs w:val="22"/>
              </w:rPr>
            </w:pPr>
            <w:r>
              <w:rPr>
                <w:sz w:val="24"/>
                <w:szCs w:val="22"/>
              </w:rPr>
              <w:t>41</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6E21BE" w:rsidP="00BB5E44">
            <w:pPr>
              <w:pStyle w:val="BodyTextIndent3"/>
              <w:ind w:left="0"/>
              <w:jc w:val="both"/>
              <w:rPr>
                <w:sz w:val="24"/>
                <w:szCs w:val="22"/>
              </w:rPr>
            </w:pPr>
            <w:r w:rsidRPr="00E00B3F">
              <w:rPr>
                <w:sz w:val="24"/>
                <w:szCs w:val="22"/>
              </w:rPr>
              <w:t>Behaviour Support</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064660" w:rsidP="00435731">
            <w:pPr>
              <w:pStyle w:val="BodyTextIndent3"/>
              <w:ind w:left="0"/>
              <w:jc w:val="right"/>
              <w:rPr>
                <w:sz w:val="24"/>
                <w:szCs w:val="22"/>
              </w:rPr>
            </w:pPr>
            <w:r>
              <w:rPr>
                <w:sz w:val="24"/>
                <w:szCs w:val="22"/>
              </w:rPr>
              <w:t>235</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206</w:t>
            </w:r>
          </w:p>
        </w:tc>
      </w:tr>
      <w:tr w:rsidR="009E1D80" w:rsidRPr="00F341BF" w:rsidTr="003964BC">
        <w:tc>
          <w:tcPr>
            <w:tcW w:w="5659" w:type="dxa"/>
            <w:tcBorders>
              <w:top w:val="single" w:sz="4" w:space="0" w:color="auto"/>
              <w:left w:val="single" w:sz="4" w:space="0" w:color="auto"/>
              <w:bottom w:val="single" w:sz="4" w:space="0" w:color="auto"/>
              <w:right w:val="single" w:sz="4" w:space="0" w:color="auto"/>
            </w:tcBorders>
            <w:shd w:val="clear" w:color="auto" w:fill="auto"/>
          </w:tcPr>
          <w:p w:rsidR="009E1D80" w:rsidRPr="00E00B3F" w:rsidRDefault="009E1D80" w:rsidP="003964BC">
            <w:pPr>
              <w:pStyle w:val="BodyTextIndent3"/>
              <w:ind w:left="0"/>
              <w:jc w:val="both"/>
              <w:rPr>
                <w:sz w:val="24"/>
                <w:szCs w:val="22"/>
              </w:rPr>
            </w:pPr>
            <w:r>
              <w:rPr>
                <w:sz w:val="24"/>
                <w:szCs w:val="22"/>
              </w:rPr>
              <w:t>Education welfare</w:t>
            </w:r>
          </w:p>
        </w:tc>
        <w:tc>
          <w:tcPr>
            <w:tcW w:w="1276" w:type="dxa"/>
            <w:tcBorders>
              <w:top w:val="single" w:sz="4" w:space="0" w:color="auto"/>
              <w:left w:val="single" w:sz="4" w:space="0" w:color="auto"/>
              <w:bottom w:val="single" w:sz="4" w:space="0" w:color="auto"/>
              <w:right w:val="single" w:sz="4" w:space="0" w:color="auto"/>
            </w:tcBorders>
          </w:tcPr>
          <w:p w:rsidR="009E1D80" w:rsidRPr="00E00B3F" w:rsidRDefault="009E1D80" w:rsidP="003964BC">
            <w:pPr>
              <w:pStyle w:val="BodyTextIndent3"/>
              <w:ind w:left="0"/>
              <w:jc w:val="right"/>
              <w:rPr>
                <w:sz w:val="24"/>
                <w:szCs w:val="22"/>
              </w:rPr>
            </w:pPr>
            <w:r>
              <w:rPr>
                <w:sz w:val="24"/>
                <w:szCs w:val="22"/>
              </w:rPr>
              <w:t>168</w:t>
            </w:r>
          </w:p>
        </w:tc>
        <w:tc>
          <w:tcPr>
            <w:tcW w:w="1276" w:type="dxa"/>
            <w:tcBorders>
              <w:top w:val="single" w:sz="4" w:space="0" w:color="auto"/>
              <w:left w:val="single" w:sz="4" w:space="0" w:color="auto"/>
              <w:bottom w:val="single" w:sz="4" w:space="0" w:color="auto"/>
              <w:right w:val="single" w:sz="4" w:space="0" w:color="auto"/>
            </w:tcBorders>
          </w:tcPr>
          <w:p w:rsidR="009E1D80" w:rsidRPr="00E00B3F" w:rsidRDefault="009E1D80" w:rsidP="003964BC">
            <w:pPr>
              <w:pStyle w:val="BodyTextIndent3"/>
              <w:ind w:left="0"/>
              <w:jc w:val="right"/>
              <w:rPr>
                <w:sz w:val="24"/>
                <w:szCs w:val="22"/>
              </w:rPr>
            </w:pPr>
            <w:r>
              <w:rPr>
                <w:sz w:val="24"/>
                <w:szCs w:val="22"/>
              </w:rPr>
              <w:t>163</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6E21BE" w:rsidP="00736EDE">
            <w:pPr>
              <w:pStyle w:val="BodyTextIndent3"/>
              <w:ind w:left="0"/>
              <w:jc w:val="both"/>
              <w:rPr>
                <w:sz w:val="24"/>
                <w:szCs w:val="22"/>
              </w:rPr>
            </w:pPr>
            <w:r>
              <w:rPr>
                <w:sz w:val="24"/>
                <w:szCs w:val="22"/>
              </w:rPr>
              <w:t>SEN referral &amp; early help 0-25 team</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064660" w:rsidP="00736EDE">
            <w:pPr>
              <w:pStyle w:val="BodyTextIndent3"/>
              <w:ind w:left="0"/>
              <w:jc w:val="right"/>
              <w:rPr>
                <w:sz w:val="24"/>
                <w:szCs w:val="22"/>
              </w:rPr>
            </w:pPr>
            <w:r>
              <w:rPr>
                <w:sz w:val="24"/>
                <w:szCs w:val="22"/>
              </w:rPr>
              <w:t>164</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206</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6E21BE" w:rsidP="00BB5E44">
            <w:pPr>
              <w:pStyle w:val="BodyTextIndent3"/>
              <w:ind w:left="0"/>
              <w:jc w:val="both"/>
              <w:rPr>
                <w:sz w:val="24"/>
                <w:szCs w:val="22"/>
              </w:rPr>
            </w:pPr>
            <w:r w:rsidRPr="00E00B3F">
              <w:rPr>
                <w:sz w:val="24"/>
                <w:szCs w:val="22"/>
              </w:rPr>
              <w:t>Social Inclusion</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064660" w:rsidP="00435731">
            <w:pPr>
              <w:pStyle w:val="BodyTextIndent3"/>
              <w:ind w:left="0"/>
              <w:jc w:val="right"/>
              <w:rPr>
                <w:sz w:val="24"/>
                <w:szCs w:val="22"/>
              </w:rPr>
            </w:pPr>
            <w:r>
              <w:rPr>
                <w:sz w:val="24"/>
                <w:szCs w:val="22"/>
              </w:rPr>
              <w:t>136</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142</w:t>
            </w:r>
          </w:p>
        </w:tc>
      </w:tr>
      <w:tr w:rsidR="009E1D80" w:rsidTr="003964BC">
        <w:tc>
          <w:tcPr>
            <w:tcW w:w="5659" w:type="dxa"/>
            <w:shd w:val="clear" w:color="auto" w:fill="auto"/>
          </w:tcPr>
          <w:p w:rsidR="009E1D80" w:rsidRPr="00E00B3F" w:rsidRDefault="009E1D80" w:rsidP="003964BC">
            <w:pPr>
              <w:pStyle w:val="BodyTextIndent3"/>
              <w:ind w:left="0"/>
              <w:jc w:val="both"/>
              <w:rPr>
                <w:sz w:val="24"/>
                <w:szCs w:val="22"/>
              </w:rPr>
            </w:pPr>
            <w:r w:rsidRPr="00E00B3F">
              <w:rPr>
                <w:sz w:val="24"/>
                <w:szCs w:val="22"/>
              </w:rPr>
              <w:lastRenderedPageBreak/>
              <w:t>Vulnerable Children's Education</w:t>
            </w:r>
          </w:p>
        </w:tc>
        <w:tc>
          <w:tcPr>
            <w:tcW w:w="1276" w:type="dxa"/>
          </w:tcPr>
          <w:p w:rsidR="009E1D80" w:rsidRPr="00E00B3F" w:rsidRDefault="009E1D80" w:rsidP="003964BC">
            <w:pPr>
              <w:pStyle w:val="BodyTextIndent3"/>
              <w:ind w:left="0"/>
              <w:jc w:val="right"/>
              <w:rPr>
                <w:sz w:val="24"/>
                <w:szCs w:val="22"/>
              </w:rPr>
            </w:pPr>
            <w:r>
              <w:rPr>
                <w:sz w:val="24"/>
                <w:szCs w:val="22"/>
              </w:rPr>
              <w:t>123</w:t>
            </w:r>
          </w:p>
        </w:tc>
        <w:tc>
          <w:tcPr>
            <w:tcW w:w="1276" w:type="dxa"/>
          </w:tcPr>
          <w:p w:rsidR="009E1D80" w:rsidRPr="00E00B3F" w:rsidRDefault="009E1D80" w:rsidP="003964BC">
            <w:pPr>
              <w:pStyle w:val="BodyTextIndent3"/>
              <w:ind w:left="0"/>
              <w:jc w:val="right"/>
              <w:rPr>
                <w:sz w:val="24"/>
                <w:szCs w:val="22"/>
              </w:rPr>
            </w:pPr>
            <w:r>
              <w:rPr>
                <w:sz w:val="24"/>
                <w:szCs w:val="22"/>
              </w:rPr>
              <w:t>110</w:t>
            </w:r>
          </w:p>
        </w:tc>
      </w:tr>
      <w:tr w:rsidR="006E21BE" w:rsidTr="006E21BE">
        <w:tc>
          <w:tcPr>
            <w:tcW w:w="5659" w:type="dxa"/>
            <w:shd w:val="clear" w:color="auto" w:fill="auto"/>
          </w:tcPr>
          <w:p w:rsidR="006E21BE" w:rsidRPr="00E00B3F" w:rsidRDefault="006E21BE" w:rsidP="00BB5E44">
            <w:pPr>
              <w:pStyle w:val="BodyTextIndent3"/>
              <w:ind w:left="0"/>
              <w:jc w:val="both"/>
              <w:rPr>
                <w:sz w:val="24"/>
                <w:szCs w:val="22"/>
              </w:rPr>
            </w:pPr>
            <w:r>
              <w:rPr>
                <w:sz w:val="24"/>
                <w:szCs w:val="22"/>
              </w:rPr>
              <w:t>Therapy in Special schools</w:t>
            </w:r>
          </w:p>
        </w:tc>
        <w:tc>
          <w:tcPr>
            <w:tcW w:w="1276" w:type="dxa"/>
          </w:tcPr>
          <w:p w:rsidR="006E21BE" w:rsidRDefault="00064660" w:rsidP="00435731">
            <w:pPr>
              <w:pStyle w:val="BodyTextIndent3"/>
              <w:ind w:left="0"/>
              <w:jc w:val="right"/>
              <w:rPr>
                <w:sz w:val="24"/>
                <w:szCs w:val="22"/>
              </w:rPr>
            </w:pPr>
            <w:r>
              <w:rPr>
                <w:sz w:val="24"/>
                <w:szCs w:val="22"/>
              </w:rPr>
              <w:t>112</w:t>
            </w:r>
          </w:p>
        </w:tc>
        <w:tc>
          <w:tcPr>
            <w:tcW w:w="1276" w:type="dxa"/>
          </w:tcPr>
          <w:p w:rsidR="006E21BE" w:rsidRDefault="006E21BE" w:rsidP="003964BC">
            <w:pPr>
              <w:pStyle w:val="BodyTextIndent3"/>
              <w:ind w:left="0"/>
              <w:jc w:val="right"/>
              <w:rPr>
                <w:sz w:val="24"/>
                <w:szCs w:val="22"/>
              </w:rPr>
            </w:pPr>
            <w:r>
              <w:rPr>
                <w:sz w:val="24"/>
                <w:szCs w:val="22"/>
              </w:rPr>
              <w:t>112</w:t>
            </w:r>
          </w:p>
        </w:tc>
      </w:tr>
      <w:tr w:rsidR="006E21BE" w:rsidTr="006E21BE">
        <w:tc>
          <w:tcPr>
            <w:tcW w:w="5659" w:type="dxa"/>
            <w:shd w:val="clear" w:color="auto" w:fill="auto"/>
          </w:tcPr>
          <w:p w:rsidR="006E21BE" w:rsidRPr="00E00B3F" w:rsidRDefault="006E21BE" w:rsidP="00BB5E44">
            <w:pPr>
              <w:pStyle w:val="BodyTextIndent3"/>
              <w:ind w:left="0"/>
              <w:jc w:val="both"/>
              <w:rPr>
                <w:sz w:val="24"/>
                <w:szCs w:val="22"/>
              </w:rPr>
            </w:pPr>
            <w:r>
              <w:rPr>
                <w:sz w:val="24"/>
                <w:szCs w:val="22"/>
              </w:rPr>
              <w:t>Merton Autism Outreach Service (MAOS)</w:t>
            </w:r>
          </w:p>
        </w:tc>
        <w:tc>
          <w:tcPr>
            <w:tcW w:w="1276" w:type="dxa"/>
          </w:tcPr>
          <w:p w:rsidR="006E21BE" w:rsidRDefault="00064660" w:rsidP="00435731">
            <w:pPr>
              <w:pStyle w:val="BodyTextIndent3"/>
              <w:ind w:left="0"/>
              <w:jc w:val="right"/>
              <w:rPr>
                <w:sz w:val="24"/>
                <w:szCs w:val="22"/>
              </w:rPr>
            </w:pPr>
            <w:r>
              <w:rPr>
                <w:sz w:val="24"/>
                <w:szCs w:val="22"/>
              </w:rPr>
              <w:t>100</w:t>
            </w:r>
          </w:p>
        </w:tc>
        <w:tc>
          <w:tcPr>
            <w:tcW w:w="1276" w:type="dxa"/>
          </w:tcPr>
          <w:p w:rsidR="006E21BE" w:rsidRDefault="006E21BE" w:rsidP="003964BC">
            <w:pPr>
              <w:pStyle w:val="BodyTextIndent3"/>
              <w:ind w:left="0"/>
              <w:jc w:val="right"/>
              <w:rPr>
                <w:sz w:val="24"/>
                <w:szCs w:val="22"/>
              </w:rPr>
            </w:pPr>
            <w:r>
              <w:rPr>
                <w:sz w:val="24"/>
                <w:szCs w:val="22"/>
              </w:rPr>
              <w:t>100</w:t>
            </w:r>
          </w:p>
        </w:tc>
      </w:tr>
      <w:tr w:rsidR="009E1D80" w:rsidTr="003964BC">
        <w:tc>
          <w:tcPr>
            <w:tcW w:w="5659" w:type="dxa"/>
            <w:shd w:val="clear" w:color="auto" w:fill="auto"/>
          </w:tcPr>
          <w:p w:rsidR="009E1D80" w:rsidRPr="00E00B3F" w:rsidRDefault="009E1D80" w:rsidP="003964BC">
            <w:pPr>
              <w:pStyle w:val="BodyTextIndent3"/>
              <w:ind w:left="0"/>
              <w:jc w:val="both"/>
              <w:rPr>
                <w:sz w:val="24"/>
                <w:szCs w:val="22"/>
              </w:rPr>
            </w:pPr>
            <w:r>
              <w:rPr>
                <w:sz w:val="24"/>
                <w:szCs w:val="22"/>
              </w:rPr>
              <w:t>SEN support</w:t>
            </w:r>
          </w:p>
        </w:tc>
        <w:tc>
          <w:tcPr>
            <w:tcW w:w="1276" w:type="dxa"/>
          </w:tcPr>
          <w:p w:rsidR="009E1D80" w:rsidRPr="00E00B3F" w:rsidRDefault="009E1D80" w:rsidP="003964BC">
            <w:pPr>
              <w:pStyle w:val="BodyTextIndent3"/>
              <w:ind w:left="0"/>
              <w:jc w:val="right"/>
              <w:rPr>
                <w:sz w:val="24"/>
                <w:szCs w:val="22"/>
              </w:rPr>
            </w:pPr>
            <w:r>
              <w:rPr>
                <w:sz w:val="24"/>
                <w:szCs w:val="22"/>
              </w:rPr>
              <w:t>81</w:t>
            </w:r>
          </w:p>
        </w:tc>
        <w:tc>
          <w:tcPr>
            <w:tcW w:w="1276" w:type="dxa"/>
          </w:tcPr>
          <w:p w:rsidR="009E1D80" w:rsidRPr="00E00B3F" w:rsidRDefault="009E1D80" w:rsidP="003964BC">
            <w:pPr>
              <w:pStyle w:val="BodyTextIndent3"/>
              <w:ind w:left="0"/>
              <w:jc w:val="right"/>
              <w:rPr>
                <w:sz w:val="24"/>
                <w:szCs w:val="22"/>
              </w:rPr>
            </w:pPr>
            <w:r>
              <w:rPr>
                <w:sz w:val="24"/>
                <w:szCs w:val="22"/>
              </w:rPr>
              <w:t>56</w:t>
            </w:r>
          </w:p>
        </w:tc>
      </w:tr>
      <w:tr w:rsidR="006E21BE" w:rsidRPr="00F341BF" w:rsidTr="006E21BE">
        <w:tc>
          <w:tcPr>
            <w:tcW w:w="5659" w:type="dxa"/>
            <w:tcBorders>
              <w:top w:val="single" w:sz="4" w:space="0" w:color="auto"/>
              <w:left w:val="single" w:sz="4" w:space="0" w:color="auto"/>
              <w:bottom w:val="single" w:sz="4" w:space="0" w:color="auto"/>
              <w:right w:val="single" w:sz="4" w:space="0" w:color="auto"/>
            </w:tcBorders>
            <w:shd w:val="clear" w:color="auto" w:fill="auto"/>
          </w:tcPr>
          <w:p w:rsidR="006E21BE" w:rsidRPr="00E00B3F" w:rsidRDefault="006E21BE" w:rsidP="00736EDE">
            <w:pPr>
              <w:pStyle w:val="BodyTextIndent3"/>
              <w:ind w:left="0"/>
              <w:jc w:val="both"/>
              <w:rPr>
                <w:sz w:val="24"/>
                <w:szCs w:val="22"/>
              </w:rPr>
            </w:pPr>
            <w:r>
              <w:rPr>
                <w:sz w:val="24"/>
                <w:szCs w:val="22"/>
              </w:rPr>
              <w:t>Portage</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064660" w:rsidP="00736EDE">
            <w:pPr>
              <w:pStyle w:val="BodyTextIndent3"/>
              <w:ind w:left="0"/>
              <w:jc w:val="right"/>
              <w:rPr>
                <w:sz w:val="24"/>
                <w:szCs w:val="22"/>
              </w:rPr>
            </w:pPr>
            <w:r>
              <w:rPr>
                <w:sz w:val="24"/>
                <w:szCs w:val="22"/>
              </w:rPr>
              <w:t>37</w:t>
            </w:r>
          </w:p>
        </w:tc>
        <w:tc>
          <w:tcPr>
            <w:tcW w:w="1276" w:type="dxa"/>
            <w:tcBorders>
              <w:top w:val="single" w:sz="4" w:space="0" w:color="auto"/>
              <w:left w:val="single" w:sz="4" w:space="0" w:color="auto"/>
              <w:bottom w:val="single" w:sz="4" w:space="0" w:color="auto"/>
              <w:right w:val="single" w:sz="4" w:space="0" w:color="auto"/>
            </w:tcBorders>
          </w:tcPr>
          <w:p w:rsidR="006E21BE" w:rsidRPr="00E00B3F" w:rsidRDefault="006E21BE" w:rsidP="003964BC">
            <w:pPr>
              <w:pStyle w:val="BodyTextIndent3"/>
              <w:ind w:left="0"/>
              <w:jc w:val="right"/>
              <w:rPr>
                <w:sz w:val="24"/>
                <w:szCs w:val="22"/>
              </w:rPr>
            </w:pPr>
            <w:r>
              <w:rPr>
                <w:sz w:val="24"/>
                <w:szCs w:val="22"/>
              </w:rPr>
              <w:t>62</w:t>
            </w:r>
          </w:p>
        </w:tc>
      </w:tr>
      <w:tr w:rsidR="006E21BE" w:rsidTr="006E21BE">
        <w:tc>
          <w:tcPr>
            <w:tcW w:w="5659" w:type="dxa"/>
            <w:shd w:val="clear" w:color="auto" w:fill="auto"/>
          </w:tcPr>
          <w:p w:rsidR="006E21BE" w:rsidRPr="00E00B3F" w:rsidRDefault="006E21BE" w:rsidP="00055F3D">
            <w:pPr>
              <w:jc w:val="both"/>
              <w:rPr>
                <w:rFonts w:ascii="Arial" w:hAnsi="Arial" w:cs="Arial"/>
                <w:szCs w:val="22"/>
              </w:rPr>
            </w:pPr>
            <w:r>
              <w:rPr>
                <w:rFonts w:ascii="Arial" w:hAnsi="Arial" w:cs="Arial"/>
                <w:szCs w:val="22"/>
              </w:rPr>
              <w:t>Independent hospital provision</w:t>
            </w:r>
          </w:p>
        </w:tc>
        <w:tc>
          <w:tcPr>
            <w:tcW w:w="1276" w:type="dxa"/>
          </w:tcPr>
          <w:p w:rsidR="006E21BE" w:rsidRPr="00E00B3F" w:rsidRDefault="00064660" w:rsidP="00055F3D">
            <w:pPr>
              <w:pStyle w:val="BodyTextIndent3"/>
              <w:ind w:left="0"/>
              <w:jc w:val="right"/>
              <w:rPr>
                <w:sz w:val="24"/>
                <w:szCs w:val="22"/>
              </w:rPr>
            </w:pPr>
            <w:r>
              <w:rPr>
                <w:sz w:val="24"/>
                <w:szCs w:val="22"/>
              </w:rPr>
              <w:t>50</w:t>
            </w:r>
          </w:p>
        </w:tc>
        <w:tc>
          <w:tcPr>
            <w:tcW w:w="1276" w:type="dxa"/>
          </w:tcPr>
          <w:p w:rsidR="006E21BE" w:rsidRPr="00E00B3F" w:rsidRDefault="006E21BE" w:rsidP="003964BC">
            <w:pPr>
              <w:pStyle w:val="BodyTextIndent3"/>
              <w:ind w:left="0"/>
              <w:jc w:val="right"/>
              <w:rPr>
                <w:sz w:val="24"/>
                <w:szCs w:val="22"/>
              </w:rPr>
            </w:pPr>
            <w:r>
              <w:rPr>
                <w:sz w:val="24"/>
                <w:szCs w:val="22"/>
              </w:rPr>
              <w:t>50</w:t>
            </w:r>
          </w:p>
        </w:tc>
      </w:tr>
      <w:tr w:rsidR="006E21BE" w:rsidTr="006E21BE">
        <w:tc>
          <w:tcPr>
            <w:tcW w:w="5659" w:type="dxa"/>
            <w:shd w:val="clear" w:color="auto" w:fill="auto"/>
          </w:tcPr>
          <w:p w:rsidR="006E21BE" w:rsidRPr="00E00B3F" w:rsidRDefault="006E21BE" w:rsidP="00055F3D">
            <w:pPr>
              <w:jc w:val="both"/>
              <w:rPr>
                <w:rFonts w:ascii="Arial" w:hAnsi="Arial" w:cs="Arial"/>
                <w:szCs w:val="22"/>
              </w:rPr>
            </w:pPr>
            <w:r>
              <w:rPr>
                <w:rFonts w:ascii="Arial" w:hAnsi="Arial" w:cs="Arial"/>
                <w:szCs w:val="22"/>
              </w:rPr>
              <w:t>Education support for Looked After Children</w:t>
            </w:r>
          </w:p>
        </w:tc>
        <w:tc>
          <w:tcPr>
            <w:tcW w:w="1276" w:type="dxa"/>
          </w:tcPr>
          <w:p w:rsidR="006E21BE" w:rsidRPr="00E00B3F" w:rsidRDefault="00064660" w:rsidP="00055F3D">
            <w:pPr>
              <w:pStyle w:val="BodyTextIndent3"/>
              <w:ind w:left="0"/>
              <w:jc w:val="right"/>
              <w:rPr>
                <w:sz w:val="24"/>
                <w:szCs w:val="22"/>
              </w:rPr>
            </w:pPr>
            <w:r>
              <w:rPr>
                <w:sz w:val="24"/>
                <w:szCs w:val="22"/>
              </w:rPr>
              <w:t>0</w:t>
            </w:r>
          </w:p>
        </w:tc>
        <w:tc>
          <w:tcPr>
            <w:tcW w:w="1276" w:type="dxa"/>
          </w:tcPr>
          <w:p w:rsidR="006E21BE" w:rsidRPr="00E00B3F" w:rsidRDefault="006E21BE" w:rsidP="003964BC">
            <w:pPr>
              <w:pStyle w:val="BodyTextIndent3"/>
              <w:ind w:left="0"/>
              <w:jc w:val="right"/>
              <w:rPr>
                <w:sz w:val="24"/>
                <w:szCs w:val="22"/>
              </w:rPr>
            </w:pPr>
            <w:r>
              <w:rPr>
                <w:sz w:val="24"/>
                <w:szCs w:val="22"/>
              </w:rPr>
              <w:t>50</w:t>
            </w:r>
          </w:p>
        </w:tc>
      </w:tr>
      <w:tr w:rsidR="006E21BE" w:rsidRPr="006E21BE" w:rsidTr="006E21BE">
        <w:tc>
          <w:tcPr>
            <w:tcW w:w="5659" w:type="dxa"/>
            <w:shd w:val="clear" w:color="auto" w:fill="00B050"/>
          </w:tcPr>
          <w:p w:rsidR="006E21BE" w:rsidRPr="006E21BE" w:rsidRDefault="006E21BE" w:rsidP="00BB5E44">
            <w:pPr>
              <w:pStyle w:val="BodyTextIndent3"/>
              <w:ind w:left="0"/>
              <w:jc w:val="both"/>
              <w:rPr>
                <w:b/>
                <w:color w:val="FFFFFF" w:themeColor="background1"/>
                <w:sz w:val="24"/>
                <w:szCs w:val="22"/>
              </w:rPr>
            </w:pPr>
            <w:r w:rsidRPr="006E21BE">
              <w:rPr>
                <w:b/>
                <w:color w:val="FFFFFF" w:themeColor="background1"/>
                <w:sz w:val="24"/>
                <w:szCs w:val="22"/>
              </w:rPr>
              <w:t>Total Cost</w:t>
            </w:r>
          </w:p>
        </w:tc>
        <w:tc>
          <w:tcPr>
            <w:tcW w:w="1276" w:type="dxa"/>
            <w:shd w:val="clear" w:color="auto" w:fill="00B050"/>
          </w:tcPr>
          <w:p w:rsidR="006E21BE" w:rsidRPr="006E21BE" w:rsidRDefault="00064660" w:rsidP="00064660">
            <w:pPr>
              <w:pStyle w:val="BodyTextIndent3"/>
              <w:ind w:left="0"/>
              <w:jc w:val="right"/>
              <w:rPr>
                <w:b/>
                <w:color w:val="FFFFFF" w:themeColor="background1"/>
                <w:sz w:val="24"/>
                <w:szCs w:val="22"/>
              </w:rPr>
            </w:pPr>
            <w:r>
              <w:rPr>
                <w:b/>
                <w:color w:val="FFFFFF" w:themeColor="background1"/>
                <w:sz w:val="24"/>
                <w:szCs w:val="24"/>
              </w:rPr>
              <w:t>13</w:t>
            </w:r>
            <w:r w:rsidR="006E21BE" w:rsidRPr="006E21BE">
              <w:rPr>
                <w:b/>
                <w:color w:val="FFFFFF" w:themeColor="background1"/>
                <w:sz w:val="24"/>
                <w:szCs w:val="24"/>
              </w:rPr>
              <w:t>,</w:t>
            </w:r>
            <w:r>
              <w:rPr>
                <w:b/>
                <w:color w:val="FFFFFF" w:themeColor="background1"/>
                <w:sz w:val="24"/>
                <w:szCs w:val="24"/>
              </w:rPr>
              <w:t>636</w:t>
            </w:r>
          </w:p>
        </w:tc>
        <w:tc>
          <w:tcPr>
            <w:tcW w:w="1276" w:type="dxa"/>
            <w:shd w:val="clear" w:color="auto" w:fill="00B050"/>
          </w:tcPr>
          <w:p w:rsidR="006E21BE" w:rsidRPr="006E21BE" w:rsidRDefault="006E21BE" w:rsidP="003964BC">
            <w:pPr>
              <w:pStyle w:val="BodyTextIndent3"/>
              <w:ind w:left="0"/>
              <w:jc w:val="right"/>
              <w:rPr>
                <w:b/>
                <w:color w:val="FFFFFF" w:themeColor="background1"/>
                <w:sz w:val="24"/>
                <w:szCs w:val="22"/>
              </w:rPr>
            </w:pPr>
            <w:r w:rsidRPr="006E21BE">
              <w:rPr>
                <w:b/>
                <w:color w:val="FFFFFF" w:themeColor="background1"/>
                <w:sz w:val="24"/>
                <w:szCs w:val="24"/>
              </w:rPr>
              <w:t>12,851</w:t>
            </w:r>
          </w:p>
        </w:tc>
      </w:tr>
    </w:tbl>
    <w:p w:rsidR="00361050" w:rsidRDefault="00361050" w:rsidP="00361050">
      <w:pPr>
        <w:pStyle w:val="Header"/>
        <w:tabs>
          <w:tab w:val="clear" w:pos="4153"/>
          <w:tab w:val="clear" w:pos="8306"/>
        </w:tabs>
        <w:ind w:left="720"/>
        <w:rPr>
          <w:b/>
        </w:rPr>
      </w:pPr>
    </w:p>
    <w:p w:rsidR="009E1D80" w:rsidRPr="009E1D80" w:rsidRDefault="00E9390B" w:rsidP="009E1D80">
      <w:pPr>
        <w:pStyle w:val="Header"/>
        <w:numPr>
          <w:ilvl w:val="2"/>
          <w:numId w:val="2"/>
        </w:numPr>
        <w:tabs>
          <w:tab w:val="clear" w:pos="4153"/>
          <w:tab w:val="clear" w:pos="8306"/>
        </w:tabs>
        <w:rPr>
          <w:b/>
        </w:rPr>
      </w:pPr>
      <w:r>
        <w:rPr>
          <w:szCs w:val="24"/>
        </w:rPr>
        <w:t>The</w:t>
      </w:r>
      <w:r w:rsidR="00A57F4D" w:rsidRPr="00A57F4D">
        <w:rPr>
          <w:szCs w:val="24"/>
        </w:rPr>
        <w:t xml:space="preserve"> </w:t>
      </w:r>
      <w:r w:rsidR="009E1D80">
        <w:rPr>
          <w:szCs w:val="24"/>
        </w:rPr>
        <w:t>£68</w:t>
      </w:r>
      <w:r w:rsidR="00086834">
        <w:rPr>
          <w:szCs w:val="24"/>
        </w:rPr>
        <w:t xml:space="preserve">6k </w:t>
      </w:r>
      <w:r>
        <w:rPr>
          <w:szCs w:val="24"/>
        </w:rPr>
        <w:t xml:space="preserve">growth received on the HNB is not sufficient to </w:t>
      </w:r>
      <w:r w:rsidR="00086834">
        <w:rPr>
          <w:szCs w:val="24"/>
        </w:rPr>
        <w:t>co</w:t>
      </w:r>
      <w:r w:rsidR="009E1D80">
        <w:rPr>
          <w:szCs w:val="24"/>
        </w:rPr>
        <w:t>ver the cost pressures. For 2017/18</w:t>
      </w:r>
      <w:r w:rsidR="00086834">
        <w:rPr>
          <w:szCs w:val="24"/>
        </w:rPr>
        <w:t xml:space="preserve"> the increase was </w:t>
      </w:r>
      <w:r w:rsidR="009E1D80">
        <w:rPr>
          <w:szCs w:val="24"/>
        </w:rPr>
        <w:t xml:space="preserve">allocated </w:t>
      </w:r>
      <w:r w:rsidR="00086834">
        <w:rPr>
          <w:szCs w:val="24"/>
        </w:rPr>
        <w:t xml:space="preserve">to the </w:t>
      </w:r>
      <w:r w:rsidR="00A57F4D" w:rsidRPr="00A57F4D">
        <w:rPr>
          <w:szCs w:val="24"/>
        </w:rPr>
        <w:t>non-delegated statement</w:t>
      </w:r>
      <w:r w:rsidR="008406FD">
        <w:rPr>
          <w:szCs w:val="24"/>
        </w:rPr>
        <w:t xml:space="preserve"> budgets to</w:t>
      </w:r>
      <w:r w:rsidR="00A57F4D" w:rsidRPr="00A57F4D">
        <w:rPr>
          <w:szCs w:val="24"/>
        </w:rPr>
        <w:t xml:space="preserve"> address the </w:t>
      </w:r>
      <w:r w:rsidR="008406FD">
        <w:rPr>
          <w:szCs w:val="24"/>
        </w:rPr>
        <w:t xml:space="preserve">expected </w:t>
      </w:r>
      <w:r w:rsidR="009E1D80">
        <w:rPr>
          <w:szCs w:val="24"/>
        </w:rPr>
        <w:t>overspend</w:t>
      </w:r>
      <w:r w:rsidR="00A57F4D" w:rsidRPr="00A57F4D">
        <w:rPr>
          <w:szCs w:val="24"/>
        </w:rPr>
        <w:t xml:space="preserve"> on </w:t>
      </w:r>
      <w:r w:rsidR="00CD21B4" w:rsidRPr="00A57F4D">
        <w:rPr>
          <w:szCs w:val="24"/>
        </w:rPr>
        <w:t>Independent Day school provision.</w:t>
      </w:r>
    </w:p>
    <w:p w:rsidR="00CD21B4" w:rsidRPr="00361050" w:rsidRDefault="00CD21B4" w:rsidP="00361050">
      <w:pPr>
        <w:pStyle w:val="Header"/>
        <w:tabs>
          <w:tab w:val="clear" w:pos="4153"/>
          <w:tab w:val="clear" w:pos="8306"/>
        </w:tabs>
        <w:ind w:left="720"/>
        <w:rPr>
          <w:b/>
        </w:rPr>
      </w:pPr>
    </w:p>
    <w:p w:rsidR="00D6691C" w:rsidRPr="002B4DD6" w:rsidRDefault="00585FAD" w:rsidP="00D6691C">
      <w:pPr>
        <w:pStyle w:val="Header"/>
        <w:numPr>
          <w:ilvl w:val="1"/>
          <w:numId w:val="2"/>
        </w:numPr>
        <w:tabs>
          <w:tab w:val="clear" w:pos="4153"/>
          <w:tab w:val="clear" w:pos="8306"/>
        </w:tabs>
        <w:ind w:hanging="720"/>
        <w:rPr>
          <w:b/>
        </w:rPr>
      </w:pPr>
      <w:r w:rsidRPr="002B4DD6">
        <w:rPr>
          <w:b/>
          <w:szCs w:val="24"/>
        </w:rPr>
        <w:t>Post 16 F</w:t>
      </w:r>
      <w:r w:rsidR="002711A6">
        <w:rPr>
          <w:b/>
          <w:szCs w:val="24"/>
        </w:rPr>
        <w:t xml:space="preserve">urther </w:t>
      </w:r>
      <w:r w:rsidRPr="002B4DD6">
        <w:rPr>
          <w:b/>
          <w:szCs w:val="24"/>
        </w:rPr>
        <w:t>E</w:t>
      </w:r>
      <w:r w:rsidR="002711A6">
        <w:rPr>
          <w:b/>
          <w:szCs w:val="24"/>
        </w:rPr>
        <w:t>ducation (FE) College</w:t>
      </w:r>
      <w:r w:rsidRPr="002B4DD6">
        <w:rPr>
          <w:b/>
          <w:szCs w:val="24"/>
        </w:rPr>
        <w:t xml:space="preserve"> and </w:t>
      </w:r>
      <w:r w:rsidR="002711A6">
        <w:rPr>
          <w:b/>
          <w:szCs w:val="24"/>
        </w:rPr>
        <w:t xml:space="preserve">Independent </w:t>
      </w:r>
      <w:r w:rsidRPr="002B4DD6">
        <w:rPr>
          <w:b/>
          <w:szCs w:val="24"/>
        </w:rPr>
        <w:t>S</w:t>
      </w:r>
      <w:r w:rsidR="002711A6">
        <w:rPr>
          <w:b/>
          <w:szCs w:val="24"/>
        </w:rPr>
        <w:t xml:space="preserve">pecialist </w:t>
      </w:r>
      <w:r w:rsidRPr="002B4DD6">
        <w:rPr>
          <w:b/>
          <w:szCs w:val="24"/>
        </w:rPr>
        <w:t>P</w:t>
      </w:r>
      <w:r w:rsidR="002711A6">
        <w:rPr>
          <w:b/>
          <w:szCs w:val="24"/>
        </w:rPr>
        <w:t>rovider (ISP)</w:t>
      </w:r>
      <w:r w:rsidRPr="002B4DD6">
        <w:rPr>
          <w:b/>
          <w:szCs w:val="24"/>
        </w:rPr>
        <w:t xml:space="preserve"> funding</w:t>
      </w:r>
    </w:p>
    <w:p w:rsidR="004311BB" w:rsidRDefault="004311BB" w:rsidP="004311BB">
      <w:pPr>
        <w:pStyle w:val="Header"/>
        <w:tabs>
          <w:tab w:val="clear" w:pos="4153"/>
          <w:tab w:val="clear" w:pos="8306"/>
        </w:tabs>
        <w:rPr>
          <w:szCs w:val="24"/>
        </w:rPr>
      </w:pPr>
    </w:p>
    <w:p w:rsidR="0080129E" w:rsidRDefault="00585FAD" w:rsidP="002B4DD6">
      <w:pPr>
        <w:pStyle w:val="BodyTextIndent"/>
        <w:numPr>
          <w:ilvl w:val="2"/>
          <w:numId w:val="2"/>
        </w:numPr>
        <w:spacing w:after="0"/>
        <w:rPr>
          <w:rFonts w:ascii="Arial" w:hAnsi="Arial"/>
        </w:rPr>
      </w:pPr>
      <w:r w:rsidRPr="00585FAD">
        <w:rPr>
          <w:rFonts w:ascii="Arial" w:hAnsi="Arial"/>
        </w:rPr>
        <w:t>The funding in this area relates</w:t>
      </w:r>
      <w:r w:rsidR="002711A6">
        <w:rPr>
          <w:rFonts w:ascii="Arial" w:hAnsi="Arial"/>
        </w:rPr>
        <w:t xml:space="preserve"> to</w:t>
      </w:r>
      <w:r w:rsidRPr="00585FAD">
        <w:rPr>
          <w:rFonts w:ascii="Arial" w:hAnsi="Arial"/>
        </w:rPr>
        <w:t xml:space="preserve"> high level SEN or LDD cost for young people aged over 16</w:t>
      </w:r>
      <w:r w:rsidR="002B4DD6">
        <w:rPr>
          <w:rFonts w:ascii="Arial" w:hAnsi="Arial"/>
        </w:rPr>
        <w:t xml:space="preserve"> in FE colleges and ISP</w:t>
      </w:r>
      <w:r w:rsidR="002711A6">
        <w:rPr>
          <w:rFonts w:ascii="Arial" w:hAnsi="Arial"/>
        </w:rPr>
        <w:t>s</w:t>
      </w:r>
      <w:r w:rsidRPr="00585FAD">
        <w:rPr>
          <w:rFonts w:ascii="Arial" w:hAnsi="Arial"/>
        </w:rPr>
        <w:t xml:space="preserve">. </w:t>
      </w:r>
      <w:r w:rsidR="00572739">
        <w:rPr>
          <w:rFonts w:ascii="Arial" w:hAnsi="Arial"/>
        </w:rPr>
        <w:t>The responsibility for these payments transferred to Local Authorities in September 2013.</w:t>
      </w:r>
    </w:p>
    <w:p w:rsidR="00585FAD" w:rsidRDefault="00585FAD" w:rsidP="004311BB">
      <w:pPr>
        <w:pStyle w:val="Header"/>
        <w:tabs>
          <w:tab w:val="clear" w:pos="4153"/>
          <w:tab w:val="clear" w:pos="8306"/>
        </w:tabs>
      </w:pPr>
    </w:p>
    <w:p w:rsidR="00585FAD" w:rsidRPr="004311BB" w:rsidRDefault="00585FAD" w:rsidP="00585FAD">
      <w:pPr>
        <w:pStyle w:val="Header"/>
        <w:numPr>
          <w:ilvl w:val="1"/>
          <w:numId w:val="2"/>
        </w:numPr>
        <w:tabs>
          <w:tab w:val="clear" w:pos="4153"/>
          <w:tab w:val="clear" w:pos="8306"/>
        </w:tabs>
        <w:ind w:hanging="720"/>
        <w:rPr>
          <w:b/>
        </w:rPr>
      </w:pPr>
      <w:r w:rsidRPr="004311BB">
        <w:rPr>
          <w:b/>
          <w:szCs w:val="24"/>
        </w:rPr>
        <w:t>Centrally retained funding for special schools</w:t>
      </w:r>
    </w:p>
    <w:p w:rsidR="00585FAD" w:rsidRDefault="00585FAD" w:rsidP="00585FAD">
      <w:pPr>
        <w:pStyle w:val="Header"/>
        <w:tabs>
          <w:tab w:val="clear" w:pos="4153"/>
          <w:tab w:val="clear" w:pos="8306"/>
        </w:tabs>
        <w:rPr>
          <w:szCs w:val="24"/>
        </w:rPr>
      </w:pPr>
    </w:p>
    <w:p w:rsidR="00585FAD" w:rsidRDefault="00585FAD" w:rsidP="00B33FED">
      <w:pPr>
        <w:pStyle w:val="BodyTextIndent"/>
        <w:numPr>
          <w:ilvl w:val="2"/>
          <w:numId w:val="2"/>
        </w:numPr>
        <w:spacing w:after="0"/>
        <w:rPr>
          <w:rFonts w:ascii="Arial" w:hAnsi="Arial"/>
        </w:rPr>
      </w:pPr>
      <w:r w:rsidRPr="0080129E">
        <w:rPr>
          <w:rFonts w:ascii="Arial" w:hAnsi="Arial"/>
        </w:rPr>
        <w:t>This includes the funding for centrally provided services for the special schools, similar to de-delegated budgets held for the maintained</w:t>
      </w:r>
      <w:r w:rsidR="000E6B4D">
        <w:rPr>
          <w:rFonts w:ascii="Arial" w:hAnsi="Arial"/>
        </w:rPr>
        <w:t xml:space="preserve"> primary and secondary schools.</w:t>
      </w:r>
    </w:p>
    <w:p w:rsidR="003959C9" w:rsidRDefault="003959C9" w:rsidP="003959C9">
      <w:pPr>
        <w:pStyle w:val="BodyTextIndent"/>
        <w:spacing w:after="0"/>
        <w:ind w:left="720"/>
        <w:rPr>
          <w:rFonts w:ascii="Arial" w:hAnsi="Arial"/>
        </w:rPr>
      </w:pPr>
    </w:p>
    <w:p w:rsidR="003959C9" w:rsidRDefault="003959C9" w:rsidP="00B33FED">
      <w:pPr>
        <w:pStyle w:val="BodyTextIndent"/>
        <w:numPr>
          <w:ilvl w:val="2"/>
          <w:numId w:val="2"/>
        </w:numPr>
        <w:spacing w:after="0"/>
        <w:rPr>
          <w:rFonts w:ascii="Arial" w:hAnsi="Arial"/>
        </w:rPr>
      </w:pPr>
      <w:r>
        <w:rPr>
          <w:rFonts w:ascii="Arial" w:hAnsi="Arial"/>
        </w:rPr>
        <w:t>An additional item was added this year for statutory School Improvement as the funding for this service changed. Special schools are required to pay £1.43 per pupil towards this service. In order to ensure that schools</w:t>
      </w:r>
      <w:r w:rsidR="0001622B">
        <w:rPr>
          <w:rFonts w:ascii="Arial" w:hAnsi="Arial"/>
        </w:rPr>
        <w:t>’</w:t>
      </w:r>
      <w:r>
        <w:rPr>
          <w:rFonts w:ascii="Arial" w:hAnsi="Arial"/>
        </w:rPr>
        <w:t xml:space="preserve"> budget did not reduce </w:t>
      </w:r>
      <w:r w:rsidR="0001622B">
        <w:rPr>
          <w:rFonts w:ascii="Arial" w:hAnsi="Arial"/>
        </w:rPr>
        <w:t xml:space="preserve">due </w:t>
      </w:r>
      <w:r>
        <w:rPr>
          <w:rFonts w:ascii="Arial" w:hAnsi="Arial"/>
        </w:rPr>
        <w:t>to this additional burden, top-up elements were increased by the same amount.</w:t>
      </w:r>
    </w:p>
    <w:p w:rsidR="00160550" w:rsidRPr="0080129E" w:rsidRDefault="00160550" w:rsidP="00B33FED">
      <w:pPr>
        <w:pStyle w:val="BodyTextIndent"/>
        <w:spacing w:after="0"/>
        <w:ind w:left="720"/>
        <w:rPr>
          <w:rFonts w:ascii="Arial" w:hAnsi="Arial"/>
        </w:rPr>
      </w:pPr>
    </w:p>
    <w:p w:rsidR="00B33FED" w:rsidRDefault="009E1D80" w:rsidP="009E1D80">
      <w:pPr>
        <w:pStyle w:val="Header"/>
        <w:numPr>
          <w:ilvl w:val="1"/>
          <w:numId w:val="2"/>
        </w:numPr>
        <w:tabs>
          <w:tab w:val="clear" w:pos="4153"/>
          <w:tab w:val="clear" w:pos="8306"/>
        </w:tabs>
        <w:ind w:hanging="720"/>
        <w:rPr>
          <w:b/>
        </w:rPr>
      </w:pPr>
      <w:r w:rsidRPr="009E1D80">
        <w:rPr>
          <w:b/>
        </w:rPr>
        <w:t>Central duties to maintained schools (ESG)</w:t>
      </w:r>
    </w:p>
    <w:p w:rsidR="009E1D80" w:rsidRDefault="009E1D80" w:rsidP="009E1D80">
      <w:pPr>
        <w:pStyle w:val="Header"/>
        <w:tabs>
          <w:tab w:val="clear" w:pos="4153"/>
          <w:tab w:val="clear" w:pos="8306"/>
        </w:tabs>
        <w:rPr>
          <w:b/>
        </w:rPr>
      </w:pPr>
    </w:p>
    <w:p w:rsidR="009E1D80" w:rsidRDefault="009E1D80" w:rsidP="003959C9">
      <w:pPr>
        <w:pStyle w:val="Header"/>
        <w:numPr>
          <w:ilvl w:val="2"/>
          <w:numId w:val="2"/>
        </w:numPr>
        <w:tabs>
          <w:tab w:val="clear" w:pos="4153"/>
          <w:tab w:val="clear" w:pos="8306"/>
        </w:tabs>
      </w:pPr>
      <w:r>
        <w:t>In order to maintain the statutory central duties to Merton maintained schools (old ESG funded services)</w:t>
      </w:r>
      <w:r w:rsidR="0001622B">
        <w:t>;</w:t>
      </w:r>
      <w:r>
        <w:t xml:space="preserve"> s</w:t>
      </w:r>
      <w:r w:rsidRPr="00E36C5F">
        <w:t xml:space="preserve">chools </w:t>
      </w:r>
      <w:r>
        <w:t>are required to make a contribution towards these services</w:t>
      </w:r>
      <w:r w:rsidRPr="00E36C5F">
        <w:t xml:space="preserve"> based on numbers on roll through the </w:t>
      </w:r>
      <w:r>
        <w:t xml:space="preserve">top-up </w:t>
      </w:r>
      <w:r w:rsidR="003959C9">
        <w:t>funding (AWPU for primary and secondary schools)</w:t>
      </w:r>
      <w:r w:rsidRPr="00E36C5F">
        <w:t>. The cost to primary</w:t>
      </w:r>
      <w:r>
        <w:t xml:space="preserve">, </w:t>
      </w:r>
      <w:r w:rsidRPr="00E36C5F">
        <w:t xml:space="preserve">secondary </w:t>
      </w:r>
      <w:r>
        <w:t xml:space="preserve">and special </w:t>
      </w:r>
      <w:r w:rsidRPr="00E36C5F">
        <w:t xml:space="preserve">schools </w:t>
      </w:r>
      <w:r>
        <w:t xml:space="preserve">will be </w:t>
      </w:r>
      <w:r w:rsidRPr="00E36C5F">
        <w:t>£</w:t>
      </w:r>
      <w:r>
        <w:t>23.11</w:t>
      </w:r>
      <w:r w:rsidRPr="00E36C5F">
        <w:t xml:space="preserve"> per pupil on roll </w:t>
      </w:r>
      <w:r>
        <w:t>to pr</w:t>
      </w:r>
      <w:r w:rsidRPr="00E36C5F">
        <w:t>ovide an ove</w:t>
      </w:r>
      <w:r>
        <w:t>rall de-delegated budget of £500k in 2017/18 (£489k for schools block and £11k from high needs block). This is estimated to increase to £38.27 in 2018/19 to provide an overall budget of £828k</w:t>
      </w:r>
      <w:r w:rsidRPr="00E36C5F">
        <w:t>.</w:t>
      </w:r>
    </w:p>
    <w:p w:rsidR="0001622B" w:rsidRDefault="0001622B" w:rsidP="0001622B">
      <w:pPr>
        <w:pStyle w:val="Header"/>
        <w:tabs>
          <w:tab w:val="clear" w:pos="4153"/>
          <w:tab w:val="clear" w:pos="8306"/>
        </w:tabs>
        <w:ind w:left="720"/>
      </w:pPr>
    </w:p>
    <w:p w:rsidR="003959C9" w:rsidRPr="009E1D80" w:rsidRDefault="003959C9" w:rsidP="003959C9">
      <w:pPr>
        <w:pStyle w:val="Header"/>
        <w:numPr>
          <w:ilvl w:val="2"/>
          <w:numId w:val="2"/>
        </w:numPr>
        <w:tabs>
          <w:tab w:val="clear" w:pos="4153"/>
          <w:tab w:val="clear" w:pos="8306"/>
        </w:tabs>
      </w:pPr>
      <w:r>
        <w:t>As mentioned in paragraph 2.3</w:t>
      </w:r>
      <w:r w:rsidR="0001622B">
        <w:t>.1, in order to ensure that schools’ budget did not reduce due to this additional burden, top-up elements were also increased by £23.11.</w:t>
      </w:r>
    </w:p>
    <w:p w:rsidR="009E1D80" w:rsidRDefault="009E1D80" w:rsidP="009E1D80">
      <w:pPr>
        <w:pStyle w:val="Header"/>
        <w:tabs>
          <w:tab w:val="clear" w:pos="4153"/>
          <w:tab w:val="clear" w:pos="8306"/>
        </w:tabs>
        <w:rPr>
          <w:b/>
        </w:rPr>
      </w:pPr>
    </w:p>
    <w:p w:rsidR="009E1D80" w:rsidRDefault="009E1D80" w:rsidP="009E1D80">
      <w:pPr>
        <w:pStyle w:val="Header"/>
        <w:tabs>
          <w:tab w:val="clear" w:pos="4153"/>
          <w:tab w:val="clear" w:pos="8306"/>
        </w:tabs>
        <w:rPr>
          <w:b/>
        </w:rPr>
      </w:pPr>
    </w:p>
    <w:p w:rsidR="009E1D80" w:rsidRPr="004311BB" w:rsidRDefault="009E1D80" w:rsidP="00B33FED">
      <w:pPr>
        <w:pStyle w:val="Header"/>
        <w:numPr>
          <w:ilvl w:val="1"/>
          <w:numId w:val="2"/>
        </w:numPr>
        <w:tabs>
          <w:tab w:val="clear" w:pos="4153"/>
          <w:tab w:val="clear" w:pos="8306"/>
        </w:tabs>
        <w:ind w:hanging="720"/>
        <w:rPr>
          <w:b/>
        </w:rPr>
      </w:pPr>
      <w:r>
        <w:rPr>
          <w:b/>
        </w:rPr>
        <w:t>Transfers from other blocks</w:t>
      </w:r>
    </w:p>
    <w:p w:rsidR="00B33FED" w:rsidRDefault="00B33FED" w:rsidP="00B33FED">
      <w:pPr>
        <w:pStyle w:val="Header"/>
        <w:tabs>
          <w:tab w:val="clear" w:pos="4153"/>
          <w:tab w:val="clear" w:pos="8306"/>
        </w:tabs>
      </w:pPr>
    </w:p>
    <w:p w:rsidR="0001622B" w:rsidRDefault="0001622B" w:rsidP="00B33FED">
      <w:pPr>
        <w:pStyle w:val="Header"/>
        <w:numPr>
          <w:ilvl w:val="2"/>
          <w:numId w:val="2"/>
        </w:numPr>
        <w:tabs>
          <w:tab w:val="clear" w:pos="4153"/>
          <w:tab w:val="clear" w:pos="8306"/>
        </w:tabs>
      </w:pPr>
      <w:r>
        <w:t>Following the re-baselining of the DSG, it is no longer necessary to make adjustments to the blocks for changes which were agreed for the years up to 2016/17. In order to align the DSG with expected spend for 2017/18 the following transfer is required.</w:t>
      </w:r>
    </w:p>
    <w:p w:rsidR="0001622B" w:rsidRDefault="0001622B" w:rsidP="0001622B">
      <w:pPr>
        <w:pStyle w:val="Header"/>
        <w:tabs>
          <w:tab w:val="clear" w:pos="4153"/>
          <w:tab w:val="clear" w:pos="8306"/>
        </w:tabs>
      </w:pPr>
    </w:p>
    <w:tbl>
      <w:tblPr>
        <w:tblW w:w="845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1150"/>
        <w:gridCol w:w="1132"/>
        <w:gridCol w:w="1132"/>
      </w:tblGrid>
      <w:tr w:rsidR="0001622B" w:rsidRPr="00202901" w:rsidTr="003964BC">
        <w:tc>
          <w:tcPr>
            <w:tcW w:w="5040" w:type="dxa"/>
            <w:shd w:val="clear" w:color="auto" w:fill="00B050"/>
          </w:tcPr>
          <w:p w:rsidR="0001622B" w:rsidRPr="00202901" w:rsidRDefault="0001622B" w:rsidP="003964BC">
            <w:pPr>
              <w:pStyle w:val="BodyTextIndent3"/>
              <w:ind w:left="0"/>
              <w:jc w:val="both"/>
              <w:rPr>
                <w:b/>
                <w:color w:val="FFFFFF" w:themeColor="background1"/>
                <w:sz w:val="24"/>
                <w:szCs w:val="24"/>
              </w:rPr>
            </w:pPr>
          </w:p>
          <w:p w:rsidR="0001622B" w:rsidRPr="00202901" w:rsidRDefault="0001622B" w:rsidP="003964BC">
            <w:pPr>
              <w:pStyle w:val="BodyTextIndent3"/>
              <w:ind w:left="0"/>
              <w:jc w:val="both"/>
              <w:rPr>
                <w:b/>
                <w:color w:val="FFFFFF" w:themeColor="background1"/>
                <w:sz w:val="24"/>
                <w:szCs w:val="24"/>
              </w:rPr>
            </w:pPr>
          </w:p>
          <w:p w:rsidR="0001622B" w:rsidRPr="00202901" w:rsidRDefault="0001622B" w:rsidP="003964BC">
            <w:pPr>
              <w:pStyle w:val="BodyTextIndent3"/>
              <w:ind w:left="0"/>
              <w:jc w:val="both"/>
              <w:rPr>
                <w:b/>
                <w:color w:val="FFFFFF" w:themeColor="background1"/>
                <w:sz w:val="24"/>
                <w:szCs w:val="24"/>
              </w:rPr>
            </w:pPr>
            <w:r w:rsidRPr="00202901">
              <w:rPr>
                <w:b/>
                <w:color w:val="FFFFFF" w:themeColor="background1"/>
                <w:sz w:val="24"/>
                <w:szCs w:val="24"/>
              </w:rPr>
              <w:t>Description</w:t>
            </w:r>
          </w:p>
        </w:tc>
        <w:tc>
          <w:tcPr>
            <w:tcW w:w="1150" w:type="dxa"/>
            <w:shd w:val="clear" w:color="auto" w:fill="00B050"/>
          </w:tcPr>
          <w:p w:rsidR="0001622B" w:rsidRPr="00202901" w:rsidRDefault="0001622B" w:rsidP="003964BC">
            <w:pPr>
              <w:pStyle w:val="BodyTextIndent3"/>
              <w:ind w:left="0"/>
              <w:jc w:val="right"/>
              <w:rPr>
                <w:b/>
                <w:color w:val="FFFFFF" w:themeColor="background1"/>
                <w:sz w:val="24"/>
                <w:szCs w:val="24"/>
              </w:rPr>
            </w:pPr>
          </w:p>
          <w:p w:rsidR="0001622B" w:rsidRPr="00202901" w:rsidRDefault="0001622B" w:rsidP="003964BC">
            <w:pPr>
              <w:pStyle w:val="BodyTextIndent3"/>
              <w:ind w:left="0"/>
              <w:jc w:val="right"/>
              <w:rPr>
                <w:b/>
                <w:color w:val="FFFFFF" w:themeColor="background1"/>
                <w:sz w:val="24"/>
                <w:szCs w:val="24"/>
              </w:rPr>
            </w:pPr>
            <w:r w:rsidRPr="00202901">
              <w:rPr>
                <w:b/>
                <w:color w:val="FFFFFF" w:themeColor="background1"/>
                <w:sz w:val="24"/>
                <w:szCs w:val="24"/>
              </w:rPr>
              <w:t>Schools</w:t>
            </w:r>
          </w:p>
          <w:p w:rsidR="0001622B" w:rsidRPr="00202901" w:rsidRDefault="0001622B" w:rsidP="003964BC">
            <w:pPr>
              <w:pStyle w:val="BodyTextIndent3"/>
              <w:ind w:left="0"/>
              <w:jc w:val="right"/>
              <w:rPr>
                <w:b/>
                <w:color w:val="FFFFFF" w:themeColor="background1"/>
                <w:sz w:val="24"/>
                <w:szCs w:val="24"/>
              </w:rPr>
            </w:pPr>
            <w:r w:rsidRPr="00202901">
              <w:rPr>
                <w:b/>
                <w:color w:val="FFFFFF" w:themeColor="background1"/>
                <w:sz w:val="24"/>
                <w:szCs w:val="24"/>
              </w:rPr>
              <w:t>£000</w:t>
            </w:r>
          </w:p>
        </w:tc>
        <w:tc>
          <w:tcPr>
            <w:tcW w:w="1132" w:type="dxa"/>
            <w:shd w:val="clear" w:color="auto" w:fill="00B050"/>
          </w:tcPr>
          <w:p w:rsidR="0001622B" w:rsidRPr="00202901" w:rsidRDefault="0001622B" w:rsidP="003964BC">
            <w:pPr>
              <w:pStyle w:val="BodyTextIndent3"/>
              <w:ind w:left="0"/>
              <w:jc w:val="right"/>
              <w:rPr>
                <w:b/>
                <w:color w:val="FFFFFF" w:themeColor="background1"/>
                <w:sz w:val="24"/>
                <w:szCs w:val="24"/>
              </w:rPr>
            </w:pPr>
            <w:r w:rsidRPr="00202901">
              <w:rPr>
                <w:b/>
                <w:color w:val="FFFFFF" w:themeColor="background1"/>
                <w:sz w:val="24"/>
                <w:szCs w:val="24"/>
              </w:rPr>
              <w:t>Early Years £000</w:t>
            </w:r>
          </w:p>
        </w:tc>
        <w:tc>
          <w:tcPr>
            <w:tcW w:w="1132" w:type="dxa"/>
            <w:shd w:val="clear" w:color="auto" w:fill="00B050"/>
          </w:tcPr>
          <w:p w:rsidR="0001622B" w:rsidRPr="00202901" w:rsidRDefault="0001622B" w:rsidP="003964BC">
            <w:pPr>
              <w:pStyle w:val="BodyTextIndent3"/>
              <w:ind w:left="0"/>
              <w:jc w:val="right"/>
              <w:rPr>
                <w:b/>
                <w:color w:val="FFFFFF" w:themeColor="background1"/>
                <w:sz w:val="24"/>
                <w:szCs w:val="24"/>
              </w:rPr>
            </w:pPr>
            <w:r w:rsidRPr="00202901">
              <w:rPr>
                <w:b/>
                <w:color w:val="FFFFFF" w:themeColor="background1"/>
                <w:sz w:val="24"/>
                <w:szCs w:val="24"/>
              </w:rPr>
              <w:t>High Needs £000</w:t>
            </w:r>
          </w:p>
        </w:tc>
      </w:tr>
      <w:tr w:rsidR="0001622B" w:rsidTr="003964BC">
        <w:tc>
          <w:tcPr>
            <w:tcW w:w="5040" w:type="dxa"/>
            <w:tcBorders>
              <w:bottom w:val="single" w:sz="4" w:space="0" w:color="auto"/>
            </w:tcBorders>
            <w:shd w:val="clear" w:color="auto" w:fill="auto"/>
            <w:vAlign w:val="bottom"/>
          </w:tcPr>
          <w:p w:rsidR="0001622B" w:rsidRPr="00171DEA" w:rsidRDefault="0001622B" w:rsidP="003964BC">
            <w:pPr>
              <w:rPr>
                <w:rFonts w:ascii="Arial" w:hAnsi="Arial" w:cs="Arial"/>
              </w:rPr>
            </w:pPr>
            <w:r>
              <w:rPr>
                <w:rFonts w:ascii="Arial" w:hAnsi="Arial" w:cs="Arial"/>
              </w:rPr>
              <w:t xml:space="preserve">Increase in out of borough </w:t>
            </w:r>
            <w:r w:rsidRPr="00202901">
              <w:rPr>
                <w:rFonts w:ascii="Arial" w:hAnsi="Arial" w:cs="Arial"/>
              </w:rPr>
              <w:t>statement/EHCP placements</w:t>
            </w:r>
          </w:p>
        </w:tc>
        <w:tc>
          <w:tcPr>
            <w:tcW w:w="1150" w:type="dxa"/>
            <w:tcBorders>
              <w:bottom w:val="single" w:sz="4" w:space="0" w:color="auto"/>
            </w:tcBorders>
            <w:shd w:val="clear" w:color="auto" w:fill="auto"/>
          </w:tcPr>
          <w:p w:rsidR="0001622B" w:rsidRPr="00010E9D" w:rsidRDefault="0001622B" w:rsidP="003964BC">
            <w:pPr>
              <w:pStyle w:val="BodyTextIndent3"/>
              <w:ind w:left="0"/>
              <w:jc w:val="right"/>
              <w:rPr>
                <w:sz w:val="24"/>
                <w:szCs w:val="24"/>
              </w:rPr>
            </w:pPr>
            <w:r>
              <w:rPr>
                <w:sz w:val="24"/>
                <w:szCs w:val="24"/>
              </w:rPr>
              <w:t>(250)</w:t>
            </w:r>
          </w:p>
        </w:tc>
        <w:tc>
          <w:tcPr>
            <w:tcW w:w="1132" w:type="dxa"/>
            <w:tcBorders>
              <w:bottom w:val="single" w:sz="4" w:space="0" w:color="auto"/>
            </w:tcBorders>
            <w:shd w:val="clear" w:color="auto" w:fill="auto"/>
          </w:tcPr>
          <w:p w:rsidR="0001622B" w:rsidRPr="00010E9D" w:rsidRDefault="0001622B" w:rsidP="003964BC">
            <w:pPr>
              <w:pStyle w:val="BodyTextIndent3"/>
              <w:ind w:left="0"/>
              <w:jc w:val="right"/>
              <w:rPr>
                <w:sz w:val="24"/>
                <w:szCs w:val="24"/>
              </w:rPr>
            </w:pPr>
          </w:p>
        </w:tc>
        <w:tc>
          <w:tcPr>
            <w:tcW w:w="1132" w:type="dxa"/>
            <w:tcBorders>
              <w:bottom w:val="single" w:sz="4" w:space="0" w:color="auto"/>
            </w:tcBorders>
            <w:shd w:val="clear" w:color="auto" w:fill="auto"/>
          </w:tcPr>
          <w:p w:rsidR="0001622B" w:rsidRPr="00010E9D" w:rsidRDefault="0001622B" w:rsidP="003964BC">
            <w:pPr>
              <w:pStyle w:val="BodyTextIndent3"/>
              <w:ind w:left="0"/>
              <w:jc w:val="right"/>
              <w:rPr>
                <w:sz w:val="24"/>
                <w:szCs w:val="24"/>
              </w:rPr>
            </w:pPr>
            <w:r>
              <w:rPr>
                <w:sz w:val="24"/>
                <w:szCs w:val="24"/>
              </w:rPr>
              <w:t>250</w:t>
            </w:r>
          </w:p>
        </w:tc>
      </w:tr>
      <w:tr w:rsidR="0001622B" w:rsidRPr="00202901" w:rsidTr="003964BC">
        <w:tc>
          <w:tcPr>
            <w:tcW w:w="5040" w:type="dxa"/>
            <w:shd w:val="clear" w:color="auto" w:fill="00B050"/>
          </w:tcPr>
          <w:p w:rsidR="0001622B" w:rsidRPr="00202901" w:rsidRDefault="0001622B" w:rsidP="003964BC">
            <w:pPr>
              <w:pStyle w:val="BodyTextIndent3"/>
              <w:ind w:left="0"/>
              <w:jc w:val="both"/>
              <w:rPr>
                <w:b/>
                <w:color w:val="FFFFFF" w:themeColor="background1"/>
                <w:sz w:val="24"/>
                <w:szCs w:val="24"/>
              </w:rPr>
            </w:pPr>
            <w:r w:rsidRPr="00202901">
              <w:rPr>
                <w:b/>
                <w:color w:val="FFFFFF" w:themeColor="background1"/>
                <w:sz w:val="24"/>
                <w:szCs w:val="24"/>
              </w:rPr>
              <w:t>Net Transfer between blocks</w:t>
            </w:r>
          </w:p>
        </w:tc>
        <w:tc>
          <w:tcPr>
            <w:tcW w:w="1150" w:type="dxa"/>
            <w:shd w:val="clear" w:color="auto" w:fill="00B050"/>
          </w:tcPr>
          <w:p w:rsidR="0001622B" w:rsidRPr="00202901" w:rsidRDefault="0001622B" w:rsidP="003964BC">
            <w:pPr>
              <w:pStyle w:val="BodyTextIndent3"/>
              <w:ind w:left="0"/>
              <w:jc w:val="right"/>
              <w:rPr>
                <w:b/>
                <w:color w:val="FFFFFF" w:themeColor="background1"/>
                <w:sz w:val="24"/>
                <w:szCs w:val="24"/>
              </w:rPr>
            </w:pPr>
            <w:r w:rsidRPr="00202901">
              <w:rPr>
                <w:b/>
                <w:color w:val="FFFFFF" w:themeColor="background1"/>
                <w:sz w:val="24"/>
                <w:szCs w:val="24"/>
              </w:rPr>
              <w:t>(250)</w:t>
            </w:r>
          </w:p>
        </w:tc>
        <w:tc>
          <w:tcPr>
            <w:tcW w:w="1132" w:type="dxa"/>
            <w:shd w:val="clear" w:color="auto" w:fill="00B050"/>
          </w:tcPr>
          <w:p w:rsidR="0001622B" w:rsidRPr="00202901" w:rsidRDefault="0001622B" w:rsidP="003964BC">
            <w:pPr>
              <w:pStyle w:val="BodyTextIndent3"/>
              <w:ind w:left="0"/>
              <w:jc w:val="right"/>
              <w:rPr>
                <w:b/>
                <w:color w:val="FFFFFF" w:themeColor="background1"/>
                <w:sz w:val="24"/>
                <w:szCs w:val="24"/>
              </w:rPr>
            </w:pPr>
          </w:p>
        </w:tc>
        <w:tc>
          <w:tcPr>
            <w:tcW w:w="1132" w:type="dxa"/>
            <w:shd w:val="clear" w:color="auto" w:fill="00B050"/>
          </w:tcPr>
          <w:p w:rsidR="0001622B" w:rsidRPr="00202901" w:rsidRDefault="0001622B" w:rsidP="003964BC">
            <w:pPr>
              <w:pStyle w:val="BodyTextIndent3"/>
              <w:ind w:left="0"/>
              <w:jc w:val="right"/>
              <w:rPr>
                <w:b/>
                <w:color w:val="FFFFFF" w:themeColor="background1"/>
                <w:sz w:val="24"/>
                <w:szCs w:val="24"/>
              </w:rPr>
            </w:pPr>
            <w:r w:rsidRPr="00202901">
              <w:rPr>
                <w:b/>
                <w:color w:val="FFFFFF" w:themeColor="background1"/>
                <w:sz w:val="24"/>
                <w:szCs w:val="24"/>
              </w:rPr>
              <w:t>250</w:t>
            </w:r>
          </w:p>
        </w:tc>
      </w:tr>
    </w:tbl>
    <w:p w:rsidR="00790189" w:rsidRDefault="00B33FED" w:rsidP="0001622B">
      <w:pPr>
        <w:pStyle w:val="Header"/>
        <w:tabs>
          <w:tab w:val="clear" w:pos="4153"/>
          <w:tab w:val="clear" w:pos="8306"/>
        </w:tabs>
      </w:pPr>
      <w:r>
        <w:t xml:space="preserve"> </w:t>
      </w:r>
    </w:p>
    <w:p w:rsidR="00904A8D" w:rsidRDefault="00904A8D">
      <w:pPr>
        <w:pStyle w:val="Header"/>
        <w:numPr>
          <w:ilvl w:val="0"/>
          <w:numId w:val="2"/>
        </w:numPr>
        <w:tabs>
          <w:tab w:val="clear" w:pos="4153"/>
          <w:tab w:val="clear" w:pos="8306"/>
        </w:tabs>
        <w:ind w:hanging="720"/>
        <w:rPr>
          <w:b/>
        </w:rPr>
      </w:pPr>
      <w:r>
        <w:rPr>
          <w:rFonts w:cs="Arial"/>
          <w:b/>
          <w:bCs/>
          <w:sz w:val="28"/>
        </w:rPr>
        <w:t>Financial, resource and property implications</w:t>
      </w:r>
    </w:p>
    <w:p w:rsidR="00904A8D" w:rsidRDefault="00904A8D">
      <w:pPr>
        <w:pStyle w:val="Header"/>
        <w:tabs>
          <w:tab w:val="clear" w:pos="4153"/>
          <w:tab w:val="clear" w:pos="8306"/>
        </w:tabs>
        <w:rPr>
          <w:b/>
        </w:rPr>
      </w:pPr>
    </w:p>
    <w:p w:rsidR="00904A8D" w:rsidRDefault="00B56C5A">
      <w:pPr>
        <w:pStyle w:val="Header"/>
        <w:tabs>
          <w:tab w:val="clear" w:pos="4153"/>
          <w:tab w:val="clear" w:pos="8306"/>
        </w:tabs>
        <w:ind w:left="720" w:hanging="720"/>
        <w:rPr>
          <w:bCs/>
        </w:rPr>
      </w:pPr>
      <w:r>
        <w:rPr>
          <w:bCs/>
        </w:rPr>
        <w:t>4</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pPr>
        <w:pStyle w:val="Header"/>
        <w:numPr>
          <w:ilvl w:val="0"/>
          <w:numId w:val="2"/>
        </w:numPr>
        <w:tabs>
          <w:tab w:val="clear" w:pos="4153"/>
          <w:tab w:val="clear" w:pos="8306"/>
        </w:tabs>
        <w:ind w:hanging="720"/>
        <w:rPr>
          <w:b/>
        </w:rPr>
      </w:pPr>
      <w:r>
        <w:rPr>
          <w:rFonts w:cs="Arial"/>
          <w:b/>
          <w:bCs/>
          <w:sz w:val="28"/>
        </w:rPr>
        <w:t>Legal and statutory implications</w:t>
      </w:r>
      <w:r>
        <w:rPr>
          <w:b/>
        </w:rPr>
        <w:br/>
      </w:r>
    </w:p>
    <w:p w:rsidR="00904A8D" w:rsidRDefault="00904A8D">
      <w:pPr>
        <w:pStyle w:val="Header"/>
        <w:numPr>
          <w:ilvl w:val="1"/>
          <w:numId w:val="2"/>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160550" w:rsidRDefault="00160550">
      <w:pPr>
        <w:pStyle w:val="Header"/>
        <w:tabs>
          <w:tab w:val="clear" w:pos="4153"/>
          <w:tab w:val="clear" w:pos="8306"/>
        </w:tabs>
        <w:ind w:left="285" w:hanging="285"/>
        <w:rPr>
          <w:b/>
        </w:rPr>
      </w:pPr>
    </w:p>
    <w:p w:rsidR="00904A8D" w:rsidRDefault="00904A8D">
      <w:pPr>
        <w:pStyle w:val="Header"/>
        <w:numPr>
          <w:ilvl w:val="0"/>
          <w:numId w:val="2"/>
        </w:numPr>
        <w:tabs>
          <w:tab w:val="clear" w:pos="4153"/>
          <w:tab w:val="clear" w:pos="8306"/>
        </w:tabs>
        <w:ind w:hanging="720"/>
        <w:rPr>
          <w:b/>
        </w:rPr>
      </w:pPr>
      <w:r>
        <w:rPr>
          <w:rFonts w:cs="Arial"/>
          <w:b/>
          <w:bCs/>
          <w:sz w:val="28"/>
        </w:rPr>
        <w:t>Human rights, equalities and community cohesion implications</w:t>
      </w:r>
      <w:r>
        <w:rPr>
          <w:b/>
        </w:rPr>
        <w:br/>
      </w:r>
    </w:p>
    <w:p w:rsidR="00904A8D" w:rsidRDefault="00904A8D" w:rsidP="008406FD">
      <w:pPr>
        <w:pStyle w:val="Header"/>
        <w:numPr>
          <w:ilvl w:val="1"/>
          <w:numId w:val="2"/>
        </w:numPr>
        <w:tabs>
          <w:tab w:val="clear" w:pos="720"/>
          <w:tab w:val="clear" w:pos="4153"/>
          <w:tab w:val="clear" w:pos="8306"/>
        </w:tabs>
        <w:ind w:left="709" w:hanging="709"/>
      </w:pPr>
      <w:r>
        <w:t>None at this stage.</w:t>
      </w:r>
    </w:p>
    <w:p w:rsidR="00A11248" w:rsidRDefault="00A11248">
      <w:pPr>
        <w:autoSpaceDE w:val="0"/>
        <w:autoSpaceDN w:val="0"/>
        <w:adjustRightInd w:val="0"/>
        <w:rPr>
          <w:color w:val="000000"/>
          <w:lang w:val="en-US"/>
        </w:rPr>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Appendices</w:t>
      </w:r>
    </w:p>
    <w:p w:rsidR="00904A8D" w:rsidRDefault="00904A8D">
      <w:pPr>
        <w:pStyle w:val="Header"/>
        <w:tabs>
          <w:tab w:val="clear" w:pos="4153"/>
          <w:tab w:val="clear" w:pos="8306"/>
        </w:tabs>
      </w:pPr>
    </w:p>
    <w:p w:rsidR="00904A8D" w:rsidRDefault="00A11248" w:rsidP="008406FD">
      <w:pPr>
        <w:pStyle w:val="Header"/>
        <w:numPr>
          <w:ilvl w:val="1"/>
          <w:numId w:val="2"/>
        </w:numPr>
        <w:tabs>
          <w:tab w:val="clear" w:pos="720"/>
          <w:tab w:val="clear" w:pos="4153"/>
          <w:tab w:val="clear" w:pos="8306"/>
        </w:tabs>
        <w:ind w:left="709" w:hanging="709"/>
      </w:pPr>
      <w:r>
        <w:t>None</w:t>
      </w:r>
    </w:p>
    <w:p w:rsidR="00160550" w:rsidRDefault="00160550" w:rsidP="00160550">
      <w:pPr>
        <w:pStyle w:val="Header"/>
        <w:tabs>
          <w:tab w:val="clear" w:pos="4153"/>
          <w:tab w:val="clear" w:pos="8306"/>
        </w:tabs>
        <w:ind w:left="900"/>
      </w:pPr>
    </w:p>
    <w:p w:rsidR="00904A8D" w:rsidRDefault="00904A8D" w:rsidP="00361050">
      <w:pPr>
        <w:pStyle w:val="Header"/>
        <w:tabs>
          <w:tab w:val="clear" w:pos="4153"/>
          <w:tab w:val="clear" w:pos="8306"/>
        </w:tabs>
        <w:rPr>
          <w:rFonts w:cs="Arial"/>
          <w:b/>
          <w:bCs/>
          <w:sz w:val="28"/>
        </w:rPr>
      </w:pPr>
      <w:r>
        <w:tab/>
      </w: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974BB9">
      <w:pPr>
        <w:pStyle w:val="Header"/>
        <w:numPr>
          <w:ilvl w:val="1"/>
          <w:numId w:val="2"/>
        </w:numPr>
        <w:tabs>
          <w:tab w:val="clear" w:pos="4153"/>
          <w:tab w:val="clear" w:pos="8306"/>
          <w:tab w:val="left" w:pos="720"/>
        </w:tabs>
        <w:ind w:hanging="720"/>
      </w:pPr>
      <w:r>
        <w:t>Centrally held financial information and other papers held by the Children Schools and Families Finance Team.</w:t>
      </w:r>
    </w:p>
    <w:p w:rsidR="00904A8D" w:rsidRDefault="00904A8D">
      <w:pPr>
        <w:pStyle w:val="Header"/>
        <w:tabs>
          <w:tab w:val="clear" w:pos="4153"/>
          <w:tab w:val="clear" w:pos="8306"/>
        </w:tabs>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Report 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7F405E">
        <w:t>-Strydom</w:t>
      </w:r>
      <w:r>
        <w:t xml:space="preserve">, Service Financial Adviser CSF    </w:t>
      </w:r>
    </w:p>
    <w:p w:rsidR="00904A8D" w:rsidRDefault="00904A8D">
      <w:pPr>
        <w:pStyle w:val="Header"/>
        <w:tabs>
          <w:tab w:val="clear" w:pos="4153"/>
          <w:tab w:val="clear" w:pos="8306"/>
        </w:tabs>
      </w:pPr>
      <w:r>
        <w:t>0208 545 4129</w:t>
      </w:r>
    </w:p>
    <w:p w:rsidR="00904A8D" w:rsidRDefault="00EE79BE">
      <w:pPr>
        <w:pStyle w:val="Header"/>
        <w:tabs>
          <w:tab w:val="clear" w:pos="4153"/>
          <w:tab w:val="clear" w:pos="8306"/>
        </w:tabs>
      </w:pPr>
      <w:hyperlink r:id="rId9" w:history="1">
        <w:r w:rsidR="00904A8D">
          <w:rPr>
            <w:rStyle w:val="Hyperlink"/>
          </w:rPr>
          <w:t>marius.karsten@merton.gov.uk</w:t>
        </w:r>
      </w:hyperlink>
    </w:p>
    <w:p w:rsidR="00904A8D" w:rsidRDefault="00904A8D">
      <w:pPr>
        <w:pStyle w:val="Header"/>
        <w:tabs>
          <w:tab w:val="clear" w:pos="4153"/>
          <w:tab w:val="clear" w:pos="8306"/>
        </w:tabs>
      </w:pPr>
    </w:p>
    <w:p w:rsidR="00C853E4" w:rsidRDefault="00904A8D" w:rsidP="0001622B">
      <w:pPr>
        <w:pStyle w:val="Header"/>
        <w:tabs>
          <w:tab w:val="clear" w:pos="4153"/>
          <w:tab w:val="clear" w:pos="8306"/>
        </w:tabs>
        <w:rPr>
          <w:b/>
          <w:sz w:val="36"/>
        </w:rPr>
      </w:pPr>
      <w:r>
        <w:t xml:space="preserve">Further information about Merton Council can be obtained from its web site </w:t>
      </w:r>
      <w:hyperlink r:id="rId10" w:history="1">
        <w:r>
          <w:rPr>
            <w:rStyle w:val="Hyperlink"/>
          </w:rPr>
          <w:t>www.merton.gov.uk</w:t>
        </w:r>
      </w:hyperlink>
      <w:r>
        <w:t xml:space="preserve"> </w:t>
      </w:r>
    </w:p>
    <w:sectPr w:rsidR="00C853E4" w:rsidSect="00B56C5A">
      <w:footerReference w:type="default" r:id="rId11"/>
      <w:pgSz w:w="11906" w:h="16838"/>
      <w:pgMar w:top="1440" w:right="1418" w:bottom="12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FD" w:rsidRDefault="008406FD">
      <w:r>
        <w:separator/>
      </w:r>
    </w:p>
  </w:endnote>
  <w:endnote w:type="continuationSeparator" w:id="0">
    <w:p w:rsidR="008406FD" w:rsidRDefault="0084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6FD" w:rsidRDefault="008406FD"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EE79BE">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FD" w:rsidRDefault="008406FD">
      <w:r>
        <w:separator/>
      </w:r>
    </w:p>
  </w:footnote>
  <w:footnote w:type="continuationSeparator" w:id="0">
    <w:p w:rsidR="008406FD" w:rsidRDefault="0084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417"/>
    <w:multiLevelType w:val="hybridMultilevel"/>
    <w:tmpl w:val="49083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B00FFB"/>
    <w:multiLevelType w:val="hybridMultilevel"/>
    <w:tmpl w:val="894C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4D0B06"/>
    <w:multiLevelType w:val="multilevel"/>
    <w:tmpl w:val="A574D84E"/>
    <w:lvl w:ilvl="0">
      <w:start w:val="4"/>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361D8"/>
    <w:multiLevelType w:val="multilevel"/>
    <w:tmpl w:val="05308192"/>
    <w:lvl w:ilvl="0">
      <w:start w:val="4"/>
      <w:numFmt w:val="decimal"/>
      <w:lvlText w:val="%1"/>
      <w:lvlJc w:val="left"/>
      <w:pPr>
        <w:tabs>
          <w:tab w:val="num" w:pos="780"/>
        </w:tabs>
        <w:ind w:left="780" w:hanging="780"/>
      </w:pPr>
      <w:rPr>
        <w:rFonts w:hint="default"/>
        <w:color w:val="000000"/>
      </w:rPr>
    </w:lvl>
    <w:lvl w:ilvl="1">
      <w:start w:val="2"/>
      <w:numFmt w:val="decimal"/>
      <w:lvlText w:val="1.%2"/>
      <w:lvlJc w:val="left"/>
      <w:pPr>
        <w:tabs>
          <w:tab w:val="num" w:pos="780"/>
        </w:tabs>
        <w:ind w:left="780" w:hanging="780"/>
      </w:pPr>
      <w:rPr>
        <w:rFonts w:hint="default"/>
        <w:b/>
        <w:color w:val="000000"/>
      </w:rPr>
    </w:lvl>
    <w:lvl w:ilvl="2">
      <w:start w:val="2"/>
      <w:numFmt w:val="decimal"/>
      <w:lvlText w:val="1.%2.%3"/>
      <w:lvlJc w:val="left"/>
      <w:pPr>
        <w:tabs>
          <w:tab w:val="num" w:pos="780"/>
        </w:tabs>
        <w:ind w:left="780" w:hanging="780"/>
      </w:pPr>
      <w:rPr>
        <w:rFonts w:hint="default"/>
        <w:b w:val="0"/>
        <w:color w:val="000000"/>
      </w:rPr>
    </w:lvl>
    <w:lvl w:ilvl="3">
      <w:start w:val="1"/>
      <w:numFmt w:val="decimal"/>
      <w:lvlText w:val="%1.%2.%3.%4"/>
      <w:lvlJc w:val="left"/>
      <w:pPr>
        <w:tabs>
          <w:tab w:val="num" w:pos="780"/>
        </w:tabs>
        <w:ind w:left="780" w:hanging="7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2B66A1"/>
    <w:multiLevelType w:val="multilevel"/>
    <w:tmpl w:val="C88422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060A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535632B"/>
    <w:multiLevelType w:val="multilevel"/>
    <w:tmpl w:val="7A56D13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98B2095"/>
    <w:multiLevelType w:val="multilevel"/>
    <w:tmpl w:val="CAD25B2A"/>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3"/>
  </w:num>
  <w:num w:numId="5">
    <w:abstractNumId w:val="6"/>
  </w:num>
  <w:num w:numId="6">
    <w:abstractNumId w:val="3"/>
  </w:num>
  <w:num w:numId="7">
    <w:abstractNumId w:val="7"/>
  </w:num>
  <w:num w:numId="8">
    <w:abstractNumId w:val="4"/>
  </w:num>
  <w:num w:numId="9">
    <w:abstractNumId w:val="1"/>
  </w:num>
  <w:num w:numId="10">
    <w:abstractNumId w:val="2"/>
  </w:num>
  <w:num w:numId="11">
    <w:abstractNumId w:val="9"/>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10E9D"/>
    <w:rsid w:val="0001622B"/>
    <w:rsid w:val="00023369"/>
    <w:rsid w:val="00036A91"/>
    <w:rsid w:val="00055F3D"/>
    <w:rsid w:val="00064660"/>
    <w:rsid w:val="000810A7"/>
    <w:rsid w:val="00086834"/>
    <w:rsid w:val="000C420E"/>
    <w:rsid w:val="000C4248"/>
    <w:rsid w:val="000C6058"/>
    <w:rsid w:val="000D74A4"/>
    <w:rsid w:val="000E6B4D"/>
    <w:rsid w:val="0011007A"/>
    <w:rsid w:val="00114DD8"/>
    <w:rsid w:val="00144219"/>
    <w:rsid w:val="00160550"/>
    <w:rsid w:val="0018473A"/>
    <w:rsid w:val="00185B84"/>
    <w:rsid w:val="001A4F86"/>
    <w:rsid w:val="001B4E68"/>
    <w:rsid w:val="001D630E"/>
    <w:rsid w:val="001E6912"/>
    <w:rsid w:val="00204065"/>
    <w:rsid w:val="00212127"/>
    <w:rsid w:val="002157C8"/>
    <w:rsid w:val="00220FD9"/>
    <w:rsid w:val="00245280"/>
    <w:rsid w:val="002711A6"/>
    <w:rsid w:val="002A011D"/>
    <w:rsid w:val="002B0AD1"/>
    <w:rsid w:val="002B4DD6"/>
    <w:rsid w:val="002E04DA"/>
    <w:rsid w:val="002E5D2C"/>
    <w:rsid w:val="002E6C06"/>
    <w:rsid w:val="002F12EC"/>
    <w:rsid w:val="00301840"/>
    <w:rsid w:val="0031310D"/>
    <w:rsid w:val="0033440D"/>
    <w:rsid w:val="00343C21"/>
    <w:rsid w:val="003562D3"/>
    <w:rsid w:val="00361050"/>
    <w:rsid w:val="003952D6"/>
    <w:rsid w:val="003959C9"/>
    <w:rsid w:val="003A70F8"/>
    <w:rsid w:val="003C42FF"/>
    <w:rsid w:val="003D3F51"/>
    <w:rsid w:val="003F7CD7"/>
    <w:rsid w:val="00415328"/>
    <w:rsid w:val="00420495"/>
    <w:rsid w:val="00424D25"/>
    <w:rsid w:val="004311BB"/>
    <w:rsid w:val="00435731"/>
    <w:rsid w:val="00440E05"/>
    <w:rsid w:val="004446FE"/>
    <w:rsid w:val="004651BE"/>
    <w:rsid w:val="0048394B"/>
    <w:rsid w:val="004A3016"/>
    <w:rsid w:val="004C26F6"/>
    <w:rsid w:val="004E72D1"/>
    <w:rsid w:val="004F0A25"/>
    <w:rsid w:val="00502787"/>
    <w:rsid w:val="00510738"/>
    <w:rsid w:val="0053247D"/>
    <w:rsid w:val="00532E0D"/>
    <w:rsid w:val="00544BBA"/>
    <w:rsid w:val="00552926"/>
    <w:rsid w:val="005549CF"/>
    <w:rsid w:val="00572739"/>
    <w:rsid w:val="00585FAD"/>
    <w:rsid w:val="00587F20"/>
    <w:rsid w:val="005A3B8A"/>
    <w:rsid w:val="005A64DD"/>
    <w:rsid w:val="005B1BE3"/>
    <w:rsid w:val="005B20E2"/>
    <w:rsid w:val="005B3CB7"/>
    <w:rsid w:val="005B5A42"/>
    <w:rsid w:val="005D2F49"/>
    <w:rsid w:val="005F19D2"/>
    <w:rsid w:val="00610494"/>
    <w:rsid w:val="0062093A"/>
    <w:rsid w:val="00663BD2"/>
    <w:rsid w:val="00672CDF"/>
    <w:rsid w:val="00676594"/>
    <w:rsid w:val="00683B04"/>
    <w:rsid w:val="006A1CB0"/>
    <w:rsid w:val="006E21BE"/>
    <w:rsid w:val="007156CF"/>
    <w:rsid w:val="007361E3"/>
    <w:rsid w:val="00736EDE"/>
    <w:rsid w:val="007662BC"/>
    <w:rsid w:val="00786603"/>
    <w:rsid w:val="00790189"/>
    <w:rsid w:val="00793FC4"/>
    <w:rsid w:val="007A234E"/>
    <w:rsid w:val="007A6D32"/>
    <w:rsid w:val="007E18A6"/>
    <w:rsid w:val="007F405E"/>
    <w:rsid w:val="0080129E"/>
    <w:rsid w:val="00812F9C"/>
    <w:rsid w:val="00822CFC"/>
    <w:rsid w:val="00825D33"/>
    <w:rsid w:val="008406FD"/>
    <w:rsid w:val="008A2C83"/>
    <w:rsid w:val="008D4BA3"/>
    <w:rsid w:val="008E204E"/>
    <w:rsid w:val="008F6925"/>
    <w:rsid w:val="00904A8D"/>
    <w:rsid w:val="0092072A"/>
    <w:rsid w:val="0094575F"/>
    <w:rsid w:val="0095408A"/>
    <w:rsid w:val="0095505B"/>
    <w:rsid w:val="00960F90"/>
    <w:rsid w:val="00974BB9"/>
    <w:rsid w:val="009A2FBF"/>
    <w:rsid w:val="009D66C8"/>
    <w:rsid w:val="009D6C1C"/>
    <w:rsid w:val="009E1D80"/>
    <w:rsid w:val="00A0291D"/>
    <w:rsid w:val="00A11248"/>
    <w:rsid w:val="00A26B18"/>
    <w:rsid w:val="00A3304E"/>
    <w:rsid w:val="00A57F4D"/>
    <w:rsid w:val="00AA24F9"/>
    <w:rsid w:val="00AB3FF6"/>
    <w:rsid w:val="00AE475F"/>
    <w:rsid w:val="00B11D9C"/>
    <w:rsid w:val="00B176B0"/>
    <w:rsid w:val="00B33FED"/>
    <w:rsid w:val="00B36C28"/>
    <w:rsid w:val="00B56C5A"/>
    <w:rsid w:val="00BB5E44"/>
    <w:rsid w:val="00BD2328"/>
    <w:rsid w:val="00BD3873"/>
    <w:rsid w:val="00BE5714"/>
    <w:rsid w:val="00BF6604"/>
    <w:rsid w:val="00C025BC"/>
    <w:rsid w:val="00C26836"/>
    <w:rsid w:val="00C4634B"/>
    <w:rsid w:val="00C81BE2"/>
    <w:rsid w:val="00C853E4"/>
    <w:rsid w:val="00C871AB"/>
    <w:rsid w:val="00C875EA"/>
    <w:rsid w:val="00CA595D"/>
    <w:rsid w:val="00CB3DFC"/>
    <w:rsid w:val="00CD21B4"/>
    <w:rsid w:val="00CF272F"/>
    <w:rsid w:val="00D0220D"/>
    <w:rsid w:val="00D0222A"/>
    <w:rsid w:val="00D02590"/>
    <w:rsid w:val="00D1297D"/>
    <w:rsid w:val="00D246D8"/>
    <w:rsid w:val="00D26C18"/>
    <w:rsid w:val="00D50F71"/>
    <w:rsid w:val="00D55586"/>
    <w:rsid w:val="00D56828"/>
    <w:rsid w:val="00D62617"/>
    <w:rsid w:val="00D65A64"/>
    <w:rsid w:val="00D6691C"/>
    <w:rsid w:val="00D72B4A"/>
    <w:rsid w:val="00DB17E4"/>
    <w:rsid w:val="00DB5E20"/>
    <w:rsid w:val="00DF26E2"/>
    <w:rsid w:val="00E00B3F"/>
    <w:rsid w:val="00E0338E"/>
    <w:rsid w:val="00E06A23"/>
    <w:rsid w:val="00E227A1"/>
    <w:rsid w:val="00E43E8E"/>
    <w:rsid w:val="00E71736"/>
    <w:rsid w:val="00E9390B"/>
    <w:rsid w:val="00EA5B83"/>
    <w:rsid w:val="00EC2DB9"/>
    <w:rsid w:val="00EE45A9"/>
    <w:rsid w:val="00EE79BE"/>
    <w:rsid w:val="00F12ABA"/>
    <w:rsid w:val="00F25FE1"/>
    <w:rsid w:val="00F26633"/>
    <w:rsid w:val="00F341BF"/>
    <w:rsid w:val="00F4301A"/>
    <w:rsid w:val="00F5017F"/>
    <w:rsid w:val="00F72EB6"/>
    <w:rsid w:val="00F73E68"/>
    <w:rsid w:val="00F85C9A"/>
    <w:rsid w:val="00FA347A"/>
    <w:rsid w:val="00FA64AC"/>
    <w:rsid w:val="00FD6B5C"/>
    <w:rsid w:val="00FE26F6"/>
    <w:rsid w:val="00FF15C9"/>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link w:val="FooterChar"/>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CB0"/>
    <w:pPr>
      <w:ind w:left="720"/>
    </w:pPr>
  </w:style>
  <w:style w:type="paragraph" w:styleId="BodyTextIndent">
    <w:name w:val="Body Text Indent"/>
    <w:basedOn w:val="Normal"/>
    <w:rsid w:val="003A70F8"/>
    <w:pPr>
      <w:spacing w:after="120"/>
      <w:ind w:left="283"/>
    </w:pPr>
  </w:style>
  <w:style w:type="paragraph" w:customStyle="1" w:styleId="Subsub">
    <w:name w:val="Subsub"/>
    <w:basedOn w:val="Normal"/>
    <w:rsid w:val="00F73E68"/>
    <w:pPr>
      <w:spacing w:after="360"/>
      <w:jc w:val="center"/>
    </w:pPr>
    <w:rPr>
      <w:b/>
      <w:caps/>
      <w:szCs w:val="20"/>
    </w:rPr>
  </w:style>
  <w:style w:type="paragraph" w:styleId="BalloonText">
    <w:name w:val="Balloon Text"/>
    <w:basedOn w:val="Normal"/>
    <w:link w:val="BalloonTextChar"/>
    <w:rsid w:val="005B20E2"/>
    <w:rPr>
      <w:rFonts w:ascii="Tahoma" w:hAnsi="Tahoma" w:cs="Tahoma"/>
      <w:sz w:val="16"/>
      <w:szCs w:val="16"/>
    </w:rPr>
  </w:style>
  <w:style w:type="character" w:customStyle="1" w:styleId="BalloonTextChar">
    <w:name w:val="Balloon Text Char"/>
    <w:link w:val="BalloonText"/>
    <w:rsid w:val="005B20E2"/>
    <w:rPr>
      <w:rFonts w:ascii="Tahoma" w:hAnsi="Tahoma" w:cs="Tahoma"/>
      <w:sz w:val="16"/>
      <w:szCs w:val="16"/>
      <w:lang w:eastAsia="en-US"/>
    </w:rPr>
  </w:style>
  <w:style w:type="character" w:customStyle="1" w:styleId="FooterChar">
    <w:name w:val="Footer Char"/>
    <w:basedOn w:val="DefaultParagraphFont"/>
    <w:link w:val="Footer"/>
    <w:rsid w:val="001A4F8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link w:val="FooterChar"/>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CB0"/>
    <w:pPr>
      <w:ind w:left="720"/>
    </w:pPr>
  </w:style>
  <w:style w:type="paragraph" w:styleId="BodyTextIndent">
    <w:name w:val="Body Text Indent"/>
    <w:basedOn w:val="Normal"/>
    <w:rsid w:val="003A70F8"/>
    <w:pPr>
      <w:spacing w:after="120"/>
      <w:ind w:left="283"/>
    </w:pPr>
  </w:style>
  <w:style w:type="paragraph" w:customStyle="1" w:styleId="Subsub">
    <w:name w:val="Subsub"/>
    <w:basedOn w:val="Normal"/>
    <w:rsid w:val="00F73E68"/>
    <w:pPr>
      <w:spacing w:after="360"/>
      <w:jc w:val="center"/>
    </w:pPr>
    <w:rPr>
      <w:b/>
      <w:caps/>
      <w:szCs w:val="20"/>
    </w:rPr>
  </w:style>
  <w:style w:type="paragraph" w:styleId="BalloonText">
    <w:name w:val="Balloon Text"/>
    <w:basedOn w:val="Normal"/>
    <w:link w:val="BalloonTextChar"/>
    <w:rsid w:val="005B20E2"/>
    <w:rPr>
      <w:rFonts w:ascii="Tahoma" w:hAnsi="Tahoma" w:cs="Tahoma"/>
      <w:sz w:val="16"/>
      <w:szCs w:val="16"/>
    </w:rPr>
  </w:style>
  <w:style w:type="character" w:customStyle="1" w:styleId="BalloonTextChar">
    <w:name w:val="Balloon Text Char"/>
    <w:link w:val="BalloonText"/>
    <w:rsid w:val="005B20E2"/>
    <w:rPr>
      <w:rFonts w:ascii="Tahoma" w:hAnsi="Tahoma" w:cs="Tahoma"/>
      <w:sz w:val="16"/>
      <w:szCs w:val="16"/>
      <w:lang w:eastAsia="en-US"/>
    </w:rPr>
  </w:style>
  <w:style w:type="character" w:customStyle="1" w:styleId="FooterChar">
    <w:name w:val="Footer Char"/>
    <w:basedOn w:val="DefaultParagraphFont"/>
    <w:link w:val="Footer"/>
    <w:rsid w:val="001A4F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853">
      <w:bodyDiv w:val="1"/>
      <w:marLeft w:val="0"/>
      <w:marRight w:val="0"/>
      <w:marTop w:val="0"/>
      <w:marBottom w:val="0"/>
      <w:divBdr>
        <w:top w:val="none" w:sz="0" w:space="0" w:color="auto"/>
        <w:left w:val="none" w:sz="0" w:space="0" w:color="auto"/>
        <w:bottom w:val="none" w:sz="0" w:space="0" w:color="auto"/>
        <w:right w:val="none" w:sz="0" w:space="0" w:color="auto"/>
      </w:divBdr>
    </w:div>
    <w:div w:id="493179688">
      <w:bodyDiv w:val="1"/>
      <w:marLeft w:val="0"/>
      <w:marRight w:val="0"/>
      <w:marTop w:val="0"/>
      <w:marBottom w:val="0"/>
      <w:divBdr>
        <w:top w:val="none" w:sz="0" w:space="0" w:color="auto"/>
        <w:left w:val="none" w:sz="0" w:space="0" w:color="auto"/>
        <w:bottom w:val="none" w:sz="0" w:space="0" w:color="auto"/>
        <w:right w:val="none" w:sz="0" w:space="0" w:color="auto"/>
      </w:divBdr>
    </w:div>
    <w:div w:id="689187590">
      <w:bodyDiv w:val="1"/>
      <w:marLeft w:val="0"/>
      <w:marRight w:val="0"/>
      <w:marTop w:val="0"/>
      <w:marBottom w:val="0"/>
      <w:divBdr>
        <w:top w:val="none" w:sz="0" w:space="0" w:color="auto"/>
        <w:left w:val="none" w:sz="0" w:space="0" w:color="auto"/>
        <w:bottom w:val="none" w:sz="0" w:space="0" w:color="auto"/>
        <w:right w:val="none" w:sz="0" w:space="0" w:color="auto"/>
      </w:divBdr>
    </w:div>
    <w:div w:id="919363896">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merton.gov.uk" TargetMode="External"/><Relationship Id="rId4" Type="http://schemas.microsoft.com/office/2007/relationships/stylesWithEffects" Target="stylesWithEffects.xml"/><Relationship Id="rId9" Type="http://schemas.openxmlformats.org/officeDocument/2006/relationships/hyperlink" Target="mailto:Zoe.Church@merton.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0372BE-EC1B-4758-824C-2BB22F403173}">
  <ds:schemaRefs>
    <ds:schemaRef ds:uri="http://schemas.openxmlformats.org/officeDocument/2006/bibliography"/>
  </ds:schemaRefs>
</ds:datastoreItem>
</file>

<file path=customXml/itemProps2.xml><?xml version="1.0" encoding="utf-8"?>
<ds:datastoreItem xmlns:ds="http://schemas.openxmlformats.org/officeDocument/2006/customXml" ds:itemID="{273757F2-D427-48B6-A1DB-DA2EAE3D9F13}"/>
</file>

<file path=customXml/itemProps3.xml><?xml version="1.0" encoding="utf-8"?>
<ds:datastoreItem xmlns:ds="http://schemas.openxmlformats.org/officeDocument/2006/customXml" ds:itemID="{7BF88771-4B68-48CE-BA69-4A0B4BCE4C03}"/>
</file>

<file path=customXml/itemProps4.xml><?xml version="1.0" encoding="utf-8"?>
<ds:datastoreItem xmlns:ds="http://schemas.openxmlformats.org/officeDocument/2006/customXml" ds:itemID="{7A5D1E28-8F26-4265-87EF-C2CAC04C356A}"/>
</file>

<file path=docProps/app.xml><?xml version="1.0" encoding="utf-8"?>
<Properties xmlns="http://schemas.openxmlformats.org/officeDocument/2006/extended-properties" xmlns:vt="http://schemas.openxmlformats.org/officeDocument/2006/docPropsVTypes">
  <Template>Normal</Template>
  <TotalTime>89</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11233</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marius karsten</cp:lastModifiedBy>
  <cp:revision>10</cp:revision>
  <cp:lastPrinted>2017-01-27T15:29:00Z</cp:lastPrinted>
  <dcterms:created xsi:type="dcterms:W3CDTF">2017-01-25T22:02:00Z</dcterms:created>
  <dcterms:modified xsi:type="dcterms:W3CDTF">2017-01-27T15:30:00Z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