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0"/>
        <w:gridCol w:w="2946"/>
      </w:tblGrid>
      <w:tr w:rsidR="00904A8D">
        <w:trPr>
          <w:trHeight w:val="680"/>
        </w:trPr>
        <w:tc>
          <w:tcPr>
            <w:tcW w:w="6440" w:type="dxa"/>
          </w:tcPr>
          <w:p w:rsidR="00904A8D" w:rsidRDefault="00904A8D">
            <w:pPr>
              <w:pStyle w:val="Header"/>
              <w:tabs>
                <w:tab w:val="clear" w:pos="4153"/>
                <w:tab w:val="clear" w:pos="8306"/>
              </w:tabs>
              <w:spacing w:after="120"/>
              <w:rPr>
                <w:b/>
                <w:sz w:val="32"/>
              </w:rPr>
            </w:pPr>
          </w:p>
          <w:p w:rsidR="00904A8D" w:rsidRDefault="00DB5E20" w:rsidP="00AF2743">
            <w:pPr>
              <w:pStyle w:val="Header"/>
              <w:tabs>
                <w:tab w:val="clear" w:pos="4153"/>
                <w:tab w:val="clear" w:pos="8306"/>
              </w:tabs>
              <w:spacing w:after="120"/>
              <w:rPr>
                <w:b/>
              </w:rPr>
            </w:pPr>
            <w:r>
              <w:rPr>
                <w:b/>
                <w:sz w:val="32"/>
              </w:rPr>
              <w:t xml:space="preserve">Schools Forum    </w:t>
            </w:r>
            <w:r w:rsidR="00AF2743">
              <w:rPr>
                <w:b/>
                <w:sz w:val="32"/>
              </w:rPr>
              <w:t>3</w:t>
            </w:r>
            <w:r w:rsidR="00AF2743" w:rsidRPr="00AF2743">
              <w:rPr>
                <w:b/>
                <w:sz w:val="32"/>
                <w:vertAlign w:val="superscript"/>
              </w:rPr>
              <w:t>rd</w:t>
            </w:r>
            <w:r w:rsidR="00AF2743">
              <w:rPr>
                <w:b/>
                <w:sz w:val="32"/>
              </w:rPr>
              <w:t xml:space="preserve"> </w:t>
            </w:r>
            <w:r>
              <w:rPr>
                <w:b/>
                <w:sz w:val="32"/>
              </w:rPr>
              <w:t>February</w:t>
            </w:r>
            <w:r w:rsidR="00904A8D">
              <w:rPr>
                <w:b/>
                <w:sz w:val="32"/>
              </w:rPr>
              <w:t xml:space="preserve"> 201</w:t>
            </w:r>
            <w:r w:rsidR="00E61A46">
              <w:rPr>
                <w:b/>
                <w:sz w:val="32"/>
              </w:rPr>
              <w:t>6</w:t>
            </w:r>
          </w:p>
        </w:tc>
        <w:tc>
          <w:tcPr>
            <w:tcW w:w="2946" w:type="dxa"/>
          </w:tcPr>
          <w:p w:rsidR="00904A8D" w:rsidRDefault="00904A8D">
            <w:pPr>
              <w:pStyle w:val="Header"/>
              <w:tabs>
                <w:tab w:val="clear" w:pos="4153"/>
                <w:tab w:val="clear" w:pos="8306"/>
              </w:tabs>
              <w:spacing w:before="120"/>
              <w:rPr>
                <w:sz w:val="40"/>
                <w:szCs w:val="40"/>
              </w:rPr>
            </w:pPr>
            <w:r>
              <w:t xml:space="preserve">Item </w:t>
            </w:r>
            <w:r w:rsidR="00DB5E20">
              <w:rPr>
                <w:sz w:val="40"/>
                <w:szCs w:val="40"/>
              </w:rPr>
              <w:t xml:space="preserve">   </w:t>
            </w:r>
          </w:p>
          <w:p w:rsidR="002A7BB9" w:rsidRDefault="001370A4" w:rsidP="002A7BB9">
            <w:pPr>
              <w:pStyle w:val="Header"/>
              <w:tabs>
                <w:tab w:val="clear" w:pos="4153"/>
                <w:tab w:val="clear" w:pos="8306"/>
              </w:tabs>
              <w:spacing w:before="120"/>
              <w:jc w:val="center"/>
              <w:rPr>
                <w:sz w:val="40"/>
                <w:szCs w:val="40"/>
              </w:rPr>
            </w:pPr>
            <w:r>
              <w:rPr>
                <w:sz w:val="40"/>
                <w:szCs w:val="40"/>
              </w:rPr>
              <w:t>4</w:t>
            </w:r>
          </w:p>
        </w:tc>
      </w:tr>
    </w:tbl>
    <w:p w:rsidR="00904A8D" w:rsidRDefault="00904A8D">
      <w:pPr>
        <w:pStyle w:val="Header"/>
        <w:tabs>
          <w:tab w:val="clear" w:pos="4153"/>
          <w:tab w:val="clear" w:pos="8306"/>
        </w:tabs>
        <w:jc w:val="right"/>
      </w:pPr>
    </w:p>
    <w:p w:rsidR="00904A8D" w:rsidRDefault="00DB5E20">
      <w:pPr>
        <w:pStyle w:val="Header"/>
        <w:tabs>
          <w:tab w:val="clear" w:pos="4153"/>
          <w:tab w:val="clear" w:pos="8306"/>
        </w:tabs>
      </w:pPr>
      <w:r>
        <w:rPr>
          <w:b/>
        </w:rPr>
        <w:t xml:space="preserve">SUBJECT:  </w:t>
      </w:r>
      <w:r w:rsidR="004A5776">
        <w:rPr>
          <w:b/>
        </w:rPr>
        <w:t>Early Years</w:t>
      </w:r>
      <w:r w:rsidR="00AB0EFC">
        <w:rPr>
          <w:b/>
        </w:rPr>
        <w:t xml:space="preserve"> Block including EY</w:t>
      </w:r>
      <w:r w:rsidR="004A5776">
        <w:rPr>
          <w:b/>
        </w:rPr>
        <w:t xml:space="preserve"> Single F</w:t>
      </w:r>
      <w:r w:rsidR="00BE5714">
        <w:rPr>
          <w:b/>
        </w:rPr>
        <w:t xml:space="preserve">unding </w:t>
      </w:r>
      <w:r w:rsidR="004A5776">
        <w:rPr>
          <w:b/>
        </w:rPr>
        <w:t>F</w:t>
      </w:r>
      <w:r w:rsidR="00E61A46">
        <w:rPr>
          <w:b/>
        </w:rPr>
        <w:t>ormula 2016</w:t>
      </w:r>
      <w:r w:rsidR="00904A8D">
        <w:rPr>
          <w:b/>
        </w:rPr>
        <w:t>/1</w:t>
      </w:r>
      <w:r w:rsidR="00E61A46">
        <w:rPr>
          <w:b/>
        </w:rPr>
        <w:t>7</w:t>
      </w:r>
    </w:p>
    <w:p w:rsidR="00904A8D" w:rsidRDefault="00904A8D">
      <w:pPr>
        <w:pStyle w:val="Header"/>
        <w:tabs>
          <w:tab w:val="clear" w:pos="4153"/>
          <w:tab w:val="clear" w:pos="8306"/>
        </w:tabs>
        <w:rPr>
          <w:b/>
        </w:rPr>
      </w:pPr>
    </w:p>
    <w:p w:rsidR="00904A8D" w:rsidRDefault="00904A8D">
      <w:pPr>
        <w:pStyle w:val="Header"/>
        <w:tabs>
          <w:tab w:val="clear" w:pos="4153"/>
          <w:tab w:val="clear" w:pos="8306"/>
        </w:tabs>
      </w:pPr>
      <w:r>
        <w:rPr>
          <w:b/>
        </w:rPr>
        <w:t>LEAD OFFICER: Marius Karsten</w:t>
      </w:r>
      <w:r w:rsidR="00744C7F">
        <w:rPr>
          <w:b/>
        </w:rPr>
        <w:t>-Strydom</w:t>
      </w:r>
      <w:r>
        <w:rPr>
          <w:bCs/>
        </w:rPr>
        <w:t>,</w:t>
      </w:r>
      <w:r>
        <w:t xml:space="preserve"> Children, Schools and Families Finance</w:t>
      </w:r>
    </w:p>
    <w:p w:rsidR="00904A8D" w:rsidRDefault="00904A8D">
      <w:pPr>
        <w:pStyle w:val="Header"/>
        <w:tabs>
          <w:tab w:val="clear" w:pos="4153"/>
          <w:tab w:val="clear" w:pos="8306"/>
        </w:tabs>
        <w:rPr>
          <w:b/>
        </w:rPr>
      </w:pPr>
    </w:p>
    <w:p w:rsidR="00904A8D" w:rsidRDefault="00904A8D">
      <w:pPr>
        <w:pStyle w:val="Header"/>
        <w:tabs>
          <w:tab w:val="clear" w:pos="4153"/>
          <w:tab w:val="clear" w:pos="8306"/>
        </w:tabs>
        <w:rPr>
          <w:b/>
          <w:sz w:val="28"/>
        </w:rPr>
      </w:pPr>
      <w:r>
        <w:rPr>
          <w:b/>
          <w:sz w:val="28"/>
        </w:rPr>
        <w:t xml:space="preserve">RECOMMENDATION </w:t>
      </w:r>
    </w:p>
    <w:p w:rsidR="00904A8D" w:rsidRDefault="00904A8D">
      <w:pPr>
        <w:pStyle w:val="Header"/>
        <w:tabs>
          <w:tab w:val="clear" w:pos="4153"/>
          <w:tab w:val="clear" w:pos="8306"/>
        </w:tabs>
        <w:rPr>
          <w:b/>
        </w:rPr>
      </w:pPr>
    </w:p>
    <w:p w:rsidR="00DB5E20" w:rsidRDefault="00904A8D">
      <w:pPr>
        <w:pStyle w:val="Header"/>
        <w:tabs>
          <w:tab w:val="clear" w:pos="4153"/>
          <w:tab w:val="clear" w:pos="8306"/>
        </w:tabs>
        <w:ind w:left="360"/>
        <w:rPr>
          <w:b/>
        </w:rPr>
      </w:pPr>
      <w:r>
        <w:rPr>
          <w:b/>
        </w:rPr>
        <w:t>That the Forum</w:t>
      </w:r>
      <w:r w:rsidR="00DB5E20">
        <w:rPr>
          <w:b/>
        </w:rPr>
        <w:t>:</w:t>
      </w:r>
    </w:p>
    <w:p w:rsidR="00DB5E20" w:rsidRDefault="00DB5E20" w:rsidP="00DB5E20">
      <w:pPr>
        <w:pStyle w:val="Header"/>
        <w:tabs>
          <w:tab w:val="clear" w:pos="4153"/>
          <w:tab w:val="clear" w:pos="8306"/>
        </w:tabs>
        <w:rPr>
          <w:b/>
        </w:rPr>
      </w:pPr>
    </w:p>
    <w:p w:rsidR="007F1509" w:rsidRDefault="007F1509" w:rsidP="007F1509">
      <w:pPr>
        <w:pStyle w:val="Header"/>
        <w:numPr>
          <w:ilvl w:val="0"/>
          <w:numId w:val="4"/>
        </w:numPr>
        <w:tabs>
          <w:tab w:val="clear" w:pos="4153"/>
          <w:tab w:val="clear" w:pos="8306"/>
        </w:tabs>
        <w:rPr>
          <w:b/>
        </w:rPr>
      </w:pPr>
      <w:r>
        <w:rPr>
          <w:b/>
        </w:rPr>
        <w:t>Notes the Early Years Single Fun</w:t>
      </w:r>
      <w:r w:rsidR="00E61A46">
        <w:rPr>
          <w:b/>
        </w:rPr>
        <w:t xml:space="preserve">ding Formula allocation for 2016/17 </w:t>
      </w:r>
      <w:r>
        <w:rPr>
          <w:b/>
        </w:rPr>
        <w:t>and provides comments for LA consideration.</w:t>
      </w:r>
    </w:p>
    <w:p w:rsidR="00904A8D" w:rsidRDefault="00904A8D">
      <w:pPr>
        <w:pStyle w:val="Header"/>
        <w:tabs>
          <w:tab w:val="clear" w:pos="4153"/>
          <w:tab w:val="clear" w:pos="8306"/>
        </w:tabs>
        <w:rPr>
          <w:b/>
        </w:rPr>
      </w:pPr>
    </w:p>
    <w:p w:rsidR="00904A8D" w:rsidRDefault="00904A8D">
      <w:pPr>
        <w:pStyle w:val="Header"/>
        <w:numPr>
          <w:ilvl w:val="0"/>
          <w:numId w:val="3"/>
        </w:numPr>
        <w:tabs>
          <w:tab w:val="clear" w:pos="360"/>
          <w:tab w:val="clear" w:pos="4153"/>
          <w:tab w:val="clear" w:pos="8306"/>
        </w:tabs>
        <w:ind w:left="720" w:hanging="720"/>
        <w:rPr>
          <w:b/>
          <w:sz w:val="28"/>
        </w:rPr>
      </w:pPr>
      <w:r>
        <w:rPr>
          <w:b/>
          <w:sz w:val="28"/>
        </w:rPr>
        <w:t>Purpose of report and executive summary</w:t>
      </w:r>
    </w:p>
    <w:p w:rsidR="00904A8D" w:rsidRDefault="00904A8D">
      <w:pPr>
        <w:pStyle w:val="Header"/>
        <w:tabs>
          <w:tab w:val="clear" w:pos="4153"/>
          <w:tab w:val="clear" w:pos="8306"/>
        </w:tabs>
        <w:rPr>
          <w:b/>
          <w:sz w:val="28"/>
        </w:rPr>
      </w:pPr>
    </w:p>
    <w:p w:rsidR="007F1509" w:rsidRDefault="00164C7E" w:rsidP="00C3413F">
      <w:pPr>
        <w:pStyle w:val="BodyTextIndent3"/>
        <w:numPr>
          <w:ilvl w:val="1"/>
          <w:numId w:val="3"/>
        </w:numPr>
        <w:ind w:left="709" w:hanging="709"/>
        <w:jc w:val="both"/>
        <w:rPr>
          <w:rFonts w:cs="Times New Roman"/>
          <w:sz w:val="24"/>
          <w:szCs w:val="24"/>
        </w:rPr>
      </w:pPr>
      <w:r>
        <w:rPr>
          <w:rFonts w:cs="Times New Roman"/>
          <w:sz w:val="24"/>
          <w:szCs w:val="24"/>
        </w:rPr>
        <w:t>The Government announced the Dedicated Schools Grant allocation on 17</w:t>
      </w:r>
      <w:r w:rsidRPr="00C3413F">
        <w:rPr>
          <w:rFonts w:cs="Times New Roman"/>
          <w:sz w:val="24"/>
          <w:szCs w:val="24"/>
        </w:rPr>
        <w:t>th</w:t>
      </w:r>
      <w:r w:rsidR="00E61A46">
        <w:rPr>
          <w:rFonts w:cs="Times New Roman"/>
          <w:sz w:val="24"/>
          <w:szCs w:val="24"/>
        </w:rPr>
        <w:t xml:space="preserve"> December 2015</w:t>
      </w:r>
      <w:r>
        <w:rPr>
          <w:rFonts w:cs="Times New Roman"/>
          <w:sz w:val="24"/>
          <w:szCs w:val="24"/>
        </w:rPr>
        <w:t>. Merton’s allocation split over the three blocks is as follows</w:t>
      </w:r>
      <w:r w:rsidR="00BE5714">
        <w:rPr>
          <w:rFonts w:cs="Times New Roman"/>
          <w:sz w:val="24"/>
          <w:szCs w:val="24"/>
        </w:rPr>
        <w:t>:</w:t>
      </w:r>
    </w:p>
    <w:p w:rsidR="00E61A46" w:rsidRDefault="00E61A46" w:rsidP="00E61A46">
      <w:pPr>
        <w:pStyle w:val="BodyTextIndent3"/>
        <w:ind w:left="360"/>
        <w:jc w:val="both"/>
        <w:rPr>
          <w:rFonts w:cs="Times New Roman"/>
          <w:sz w:val="24"/>
          <w:szCs w:val="24"/>
        </w:rPr>
      </w:pP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7"/>
        <w:gridCol w:w="1418"/>
        <w:gridCol w:w="1417"/>
      </w:tblGrid>
      <w:tr w:rsidR="00E61A46" w:rsidRPr="00010E9D" w:rsidTr="00E61A46">
        <w:tc>
          <w:tcPr>
            <w:tcW w:w="5517" w:type="dxa"/>
            <w:shd w:val="clear" w:color="auto" w:fill="C0C0C0"/>
          </w:tcPr>
          <w:p w:rsidR="00E61A46" w:rsidRPr="00010E9D" w:rsidRDefault="00E61A46" w:rsidP="00E61A46">
            <w:pPr>
              <w:pStyle w:val="BodyTextIndent3"/>
              <w:ind w:left="0"/>
              <w:jc w:val="both"/>
              <w:rPr>
                <w:b/>
                <w:sz w:val="24"/>
                <w:szCs w:val="24"/>
              </w:rPr>
            </w:pPr>
          </w:p>
          <w:p w:rsidR="00E61A46" w:rsidRPr="00010E9D" w:rsidRDefault="00E61A46" w:rsidP="00E61A46">
            <w:pPr>
              <w:pStyle w:val="BodyTextIndent3"/>
              <w:ind w:left="0"/>
              <w:jc w:val="both"/>
              <w:rPr>
                <w:b/>
                <w:sz w:val="24"/>
                <w:szCs w:val="24"/>
              </w:rPr>
            </w:pPr>
            <w:r w:rsidRPr="00010E9D">
              <w:rPr>
                <w:b/>
                <w:sz w:val="24"/>
                <w:szCs w:val="24"/>
              </w:rPr>
              <w:t>Description</w:t>
            </w:r>
          </w:p>
        </w:tc>
        <w:tc>
          <w:tcPr>
            <w:tcW w:w="1418" w:type="dxa"/>
            <w:shd w:val="clear" w:color="auto" w:fill="C0C0C0"/>
          </w:tcPr>
          <w:p w:rsidR="00E61A46" w:rsidRPr="00010E9D" w:rsidRDefault="00E61A46" w:rsidP="00E61A46">
            <w:pPr>
              <w:pStyle w:val="BodyTextIndent3"/>
              <w:ind w:left="0"/>
              <w:jc w:val="right"/>
              <w:rPr>
                <w:b/>
                <w:sz w:val="24"/>
                <w:szCs w:val="24"/>
              </w:rPr>
            </w:pPr>
            <w:r>
              <w:rPr>
                <w:b/>
                <w:sz w:val="24"/>
                <w:szCs w:val="24"/>
              </w:rPr>
              <w:t>2016/17</w:t>
            </w:r>
          </w:p>
          <w:p w:rsidR="00E61A46" w:rsidRPr="00010E9D" w:rsidRDefault="00E61A46" w:rsidP="00E61A46">
            <w:pPr>
              <w:pStyle w:val="BodyTextIndent3"/>
              <w:ind w:left="0"/>
              <w:jc w:val="right"/>
              <w:rPr>
                <w:b/>
                <w:sz w:val="24"/>
                <w:szCs w:val="24"/>
              </w:rPr>
            </w:pPr>
            <w:r w:rsidRPr="00010E9D">
              <w:rPr>
                <w:b/>
                <w:sz w:val="24"/>
                <w:szCs w:val="24"/>
              </w:rPr>
              <w:t>£000</w:t>
            </w:r>
          </w:p>
        </w:tc>
        <w:tc>
          <w:tcPr>
            <w:tcW w:w="1417" w:type="dxa"/>
            <w:shd w:val="clear" w:color="auto" w:fill="C0C0C0"/>
          </w:tcPr>
          <w:p w:rsidR="00E61A46" w:rsidRPr="00010E9D" w:rsidRDefault="00E61A46" w:rsidP="00E61A46">
            <w:pPr>
              <w:pStyle w:val="BodyTextIndent3"/>
              <w:ind w:left="0"/>
              <w:jc w:val="right"/>
              <w:rPr>
                <w:b/>
                <w:sz w:val="24"/>
                <w:szCs w:val="24"/>
              </w:rPr>
            </w:pPr>
            <w:r>
              <w:rPr>
                <w:b/>
                <w:sz w:val="24"/>
                <w:szCs w:val="24"/>
              </w:rPr>
              <w:t>2015/16</w:t>
            </w:r>
          </w:p>
          <w:p w:rsidR="00E61A46" w:rsidRPr="00010E9D" w:rsidRDefault="00E61A46" w:rsidP="00E61A46">
            <w:pPr>
              <w:pStyle w:val="BodyTextIndent3"/>
              <w:ind w:left="0"/>
              <w:jc w:val="right"/>
              <w:rPr>
                <w:b/>
                <w:sz w:val="24"/>
                <w:szCs w:val="24"/>
              </w:rPr>
            </w:pPr>
            <w:r w:rsidRPr="00010E9D">
              <w:rPr>
                <w:b/>
                <w:sz w:val="24"/>
                <w:szCs w:val="24"/>
              </w:rPr>
              <w:t>£000</w:t>
            </w:r>
          </w:p>
        </w:tc>
      </w:tr>
      <w:tr w:rsidR="00E61A46" w:rsidTr="00E61A46">
        <w:tc>
          <w:tcPr>
            <w:tcW w:w="5517" w:type="dxa"/>
            <w:shd w:val="clear" w:color="auto" w:fill="auto"/>
          </w:tcPr>
          <w:p w:rsidR="00E61A46" w:rsidRPr="00010E9D" w:rsidRDefault="00E61A46" w:rsidP="00E61A46">
            <w:pPr>
              <w:pStyle w:val="BodyTextIndent3"/>
              <w:ind w:left="0"/>
              <w:jc w:val="both"/>
              <w:rPr>
                <w:sz w:val="24"/>
                <w:szCs w:val="24"/>
              </w:rPr>
            </w:pPr>
            <w:r w:rsidRPr="00010E9D">
              <w:rPr>
                <w:sz w:val="24"/>
                <w:szCs w:val="24"/>
              </w:rPr>
              <w:t>Schools Block</w:t>
            </w:r>
          </w:p>
        </w:tc>
        <w:tc>
          <w:tcPr>
            <w:tcW w:w="1418" w:type="dxa"/>
          </w:tcPr>
          <w:p w:rsidR="00E61A46" w:rsidRPr="00010E9D" w:rsidRDefault="00E61A46" w:rsidP="00E61A46">
            <w:pPr>
              <w:pStyle w:val="BodyTextIndent3"/>
              <w:ind w:left="0"/>
              <w:jc w:val="right"/>
              <w:rPr>
                <w:sz w:val="24"/>
                <w:szCs w:val="24"/>
              </w:rPr>
            </w:pPr>
            <w:r>
              <w:rPr>
                <w:sz w:val="24"/>
                <w:szCs w:val="24"/>
              </w:rPr>
              <w:t>118,819</w:t>
            </w:r>
          </w:p>
        </w:tc>
        <w:tc>
          <w:tcPr>
            <w:tcW w:w="1417" w:type="dxa"/>
          </w:tcPr>
          <w:p w:rsidR="00E61A46" w:rsidRPr="00010E9D" w:rsidRDefault="00E61A46" w:rsidP="00E61A46">
            <w:pPr>
              <w:pStyle w:val="BodyTextIndent3"/>
              <w:ind w:left="0"/>
              <w:jc w:val="right"/>
              <w:rPr>
                <w:sz w:val="24"/>
                <w:szCs w:val="24"/>
              </w:rPr>
            </w:pPr>
            <w:r>
              <w:rPr>
                <w:sz w:val="24"/>
                <w:szCs w:val="24"/>
              </w:rPr>
              <w:t>116,878</w:t>
            </w:r>
          </w:p>
        </w:tc>
      </w:tr>
      <w:tr w:rsidR="00E61A46" w:rsidTr="00E61A46">
        <w:tc>
          <w:tcPr>
            <w:tcW w:w="5517" w:type="dxa"/>
            <w:shd w:val="clear" w:color="auto" w:fill="auto"/>
          </w:tcPr>
          <w:p w:rsidR="00E61A46" w:rsidRPr="00010E9D" w:rsidRDefault="00E61A46" w:rsidP="00E61A46">
            <w:pPr>
              <w:pStyle w:val="BodyTextIndent3"/>
              <w:ind w:left="0"/>
              <w:jc w:val="both"/>
              <w:rPr>
                <w:sz w:val="24"/>
                <w:szCs w:val="24"/>
              </w:rPr>
            </w:pPr>
            <w:r w:rsidRPr="00010E9D">
              <w:rPr>
                <w:sz w:val="24"/>
                <w:szCs w:val="24"/>
              </w:rPr>
              <w:t>Early Years Block</w:t>
            </w:r>
          </w:p>
        </w:tc>
        <w:tc>
          <w:tcPr>
            <w:tcW w:w="1418" w:type="dxa"/>
          </w:tcPr>
          <w:p w:rsidR="00E61A46" w:rsidRPr="00010E9D" w:rsidRDefault="00E61A46" w:rsidP="00E61A46">
            <w:pPr>
              <w:pStyle w:val="BodyTextIndent3"/>
              <w:ind w:left="0"/>
              <w:jc w:val="right"/>
              <w:rPr>
                <w:sz w:val="24"/>
                <w:szCs w:val="24"/>
              </w:rPr>
            </w:pPr>
            <w:r>
              <w:rPr>
                <w:sz w:val="24"/>
                <w:szCs w:val="24"/>
              </w:rPr>
              <w:t>11,122</w:t>
            </w:r>
          </w:p>
        </w:tc>
        <w:tc>
          <w:tcPr>
            <w:tcW w:w="1417" w:type="dxa"/>
          </w:tcPr>
          <w:p w:rsidR="00E61A46" w:rsidRPr="00010E9D" w:rsidRDefault="00E61A46" w:rsidP="00E61A46">
            <w:pPr>
              <w:pStyle w:val="BodyTextIndent3"/>
              <w:ind w:left="0"/>
              <w:jc w:val="right"/>
              <w:rPr>
                <w:sz w:val="24"/>
                <w:szCs w:val="24"/>
              </w:rPr>
            </w:pPr>
            <w:r>
              <w:rPr>
                <w:sz w:val="24"/>
                <w:szCs w:val="24"/>
              </w:rPr>
              <w:t>11,122</w:t>
            </w:r>
          </w:p>
        </w:tc>
      </w:tr>
      <w:tr w:rsidR="00E61A46" w:rsidTr="00E61A46">
        <w:tc>
          <w:tcPr>
            <w:tcW w:w="5517" w:type="dxa"/>
            <w:shd w:val="clear" w:color="auto" w:fill="auto"/>
          </w:tcPr>
          <w:p w:rsidR="00E61A46" w:rsidRPr="00010E9D" w:rsidRDefault="00E61A46" w:rsidP="00E61A46">
            <w:pPr>
              <w:pStyle w:val="BodyTextIndent3"/>
              <w:ind w:left="0"/>
              <w:jc w:val="both"/>
              <w:rPr>
                <w:sz w:val="24"/>
                <w:szCs w:val="24"/>
              </w:rPr>
            </w:pPr>
            <w:r w:rsidRPr="00010E9D">
              <w:rPr>
                <w:sz w:val="24"/>
                <w:szCs w:val="24"/>
              </w:rPr>
              <w:t>High Needs Block</w:t>
            </w:r>
          </w:p>
        </w:tc>
        <w:tc>
          <w:tcPr>
            <w:tcW w:w="1418" w:type="dxa"/>
          </w:tcPr>
          <w:p w:rsidR="00E61A46" w:rsidRPr="00010E9D" w:rsidRDefault="00E61A46" w:rsidP="00E61A46">
            <w:pPr>
              <w:pStyle w:val="BodyTextIndent3"/>
              <w:ind w:left="0"/>
              <w:jc w:val="right"/>
              <w:rPr>
                <w:sz w:val="24"/>
                <w:szCs w:val="24"/>
              </w:rPr>
            </w:pPr>
            <w:r>
              <w:rPr>
                <w:sz w:val="24"/>
                <w:szCs w:val="24"/>
              </w:rPr>
              <w:t>27,040</w:t>
            </w:r>
          </w:p>
        </w:tc>
        <w:tc>
          <w:tcPr>
            <w:tcW w:w="1417" w:type="dxa"/>
          </w:tcPr>
          <w:p w:rsidR="00E61A46" w:rsidRPr="00010E9D" w:rsidRDefault="00E61A46" w:rsidP="00E61A46">
            <w:pPr>
              <w:pStyle w:val="BodyTextIndent3"/>
              <w:ind w:left="0"/>
              <w:jc w:val="right"/>
              <w:rPr>
                <w:sz w:val="24"/>
                <w:szCs w:val="24"/>
              </w:rPr>
            </w:pPr>
            <w:r>
              <w:rPr>
                <w:sz w:val="24"/>
                <w:szCs w:val="24"/>
              </w:rPr>
              <w:t>26,684</w:t>
            </w:r>
          </w:p>
        </w:tc>
      </w:tr>
      <w:tr w:rsidR="00E61A46" w:rsidRPr="00010E9D" w:rsidTr="00E61A46">
        <w:tc>
          <w:tcPr>
            <w:tcW w:w="5517" w:type="dxa"/>
            <w:shd w:val="clear" w:color="auto" w:fill="auto"/>
          </w:tcPr>
          <w:p w:rsidR="00E61A46" w:rsidRPr="00010E9D" w:rsidRDefault="00E61A46" w:rsidP="00E61A46">
            <w:pPr>
              <w:pStyle w:val="BodyTextIndent3"/>
              <w:ind w:left="0"/>
              <w:jc w:val="both"/>
              <w:rPr>
                <w:b/>
                <w:sz w:val="24"/>
                <w:szCs w:val="24"/>
              </w:rPr>
            </w:pPr>
            <w:r w:rsidRPr="00010E9D">
              <w:rPr>
                <w:b/>
                <w:sz w:val="24"/>
                <w:szCs w:val="24"/>
              </w:rPr>
              <w:t>Total</w:t>
            </w:r>
            <w:r>
              <w:rPr>
                <w:b/>
                <w:sz w:val="24"/>
                <w:szCs w:val="24"/>
              </w:rPr>
              <w:t xml:space="preserve"> as at Schools Forum meeting</w:t>
            </w:r>
          </w:p>
        </w:tc>
        <w:tc>
          <w:tcPr>
            <w:tcW w:w="1418" w:type="dxa"/>
          </w:tcPr>
          <w:p w:rsidR="00E61A46" w:rsidRPr="00010E9D" w:rsidRDefault="00E61A46" w:rsidP="00E61A46">
            <w:pPr>
              <w:pStyle w:val="BodyTextIndent3"/>
              <w:ind w:left="0"/>
              <w:jc w:val="right"/>
              <w:rPr>
                <w:b/>
                <w:sz w:val="24"/>
                <w:szCs w:val="24"/>
              </w:rPr>
            </w:pPr>
            <w:r>
              <w:rPr>
                <w:b/>
                <w:sz w:val="24"/>
                <w:szCs w:val="24"/>
              </w:rPr>
              <w:t>156,981</w:t>
            </w:r>
          </w:p>
        </w:tc>
        <w:tc>
          <w:tcPr>
            <w:tcW w:w="1417" w:type="dxa"/>
          </w:tcPr>
          <w:p w:rsidR="00E61A46" w:rsidRPr="00010E9D" w:rsidRDefault="00E61A46" w:rsidP="00E61A46">
            <w:pPr>
              <w:pStyle w:val="BodyTextIndent3"/>
              <w:ind w:left="0"/>
              <w:jc w:val="right"/>
              <w:rPr>
                <w:b/>
                <w:sz w:val="24"/>
                <w:szCs w:val="24"/>
              </w:rPr>
            </w:pPr>
            <w:r>
              <w:rPr>
                <w:b/>
                <w:sz w:val="24"/>
                <w:szCs w:val="24"/>
              </w:rPr>
              <w:t>154,684</w:t>
            </w:r>
          </w:p>
        </w:tc>
      </w:tr>
      <w:tr w:rsidR="00E61A46" w:rsidTr="00E61A46">
        <w:tc>
          <w:tcPr>
            <w:tcW w:w="5517" w:type="dxa"/>
            <w:shd w:val="clear" w:color="auto" w:fill="auto"/>
          </w:tcPr>
          <w:p w:rsidR="00E61A46" w:rsidRPr="00E958A6" w:rsidRDefault="00E61A46" w:rsidP="00E61A46">
            <w:pPr>
              <w:pStyle w:val="BodyTextIndent3"/>
              <w:ind w:left="0"/>
              <w:jc w:val="both"/>
              <w:rPr>
                <w:sz w:val="24"/>
                <w:szCs w:val="24"/>
              </w:rPr>
            </w:pPr>
            <w:r w:rsidRPr="00E958A6">
              <w:rPr>
                <w:sz w:val="24"/>
                <w:szCs w:val="24"/>
              </w:rPr>
              <w:t>Academy recoupment</w:t>
            </w:r>
          </w:p>
        </w:tc>
        <w:tc>
          <w:tcPr>
            <w:tcW w:w="1418" w:type="dxa"/>
          </w:tcPr>
          <w:p w:rsidR="00E61A46" w:rsidRPr="00E958A6" w:rsidRDefault="00E61A46" w:rsidP="00E61A46">
            <w:pPr>
              <w:pStyle w:val="BodyTextIndent3"/>
              <w:ind w:left="0"/>
              <w:jc w:val="right"/>
              <w:rPr>
                <w:sz w:val="24"/>
                <w:szCs w:val="24"/>
              </w:rPr>
            </w:pPr>
            <w:r>
              <w:rPr>
                <w:sz w:val="24"/>
                <w:szCs w:val="24"/>
              </w:rPr>
              <w:t>(17,272)</w:t>
            </w:r>
          </w:p>
        </w:tc>
        <w:tc>
          <w:tcPr>
            <w:tcW w:w="1417" w:type="dxa"/>
          </w:tcPr>
          <w:p w:rsidR="00E61A46" w:rsidRPr="00E958A6" w:rsidRDefault="00E61A46" w:rsidP="00E61A46">
            <w:pPr>
              <w:pStyle w:val="BodyTextIndent3"/>
              <w:ind w:left="0"/>
              <w:jc w:val="right"/>
              <w:rPr>
                <w:sz w:val="24"/>
                <w:szCs w:val="24"/>
              </w:rPr>
            </w:pPr>
            <w:r w:rsidRPr="00E958A6">
              <w:rPr>
                <w:sz w:val="24"/>
                <w:szCs w:val="24"/>
              </w:rPr>
              <w:t>(16,5</w:t>
            </w:r>
            <w:r>
              <w:rPr>
                <w:sz w:val="24"/>
                <w:szCs w:val="24"/>
              </w:rPr>
              <w:t>01</w:t>
            </w:r>
            <w:r w:rsidRPr="00E958A6">
              <w:rPr>
                <w:sz w:val="24"/>
                <w:szCs w:val="24"/>
              </w:rPr>
              <w:t>)</w:t>
            </w:r>
          </w:p>
        </w:tc>
      </w:tr>
      <w:tr w:rsidR="00E61A46" w:rsidRPr="00010E9D" w:rsidTr="00E61A46">
        <w:tc>
          <w:tcPr>
            <w:tcW w:w="5517" w:type="dxa"/>
            <w:shd w:val="clear" w:color="auto" w:fill="auto"/>
          </w:tcPr>
          <w:p w:rsidR="00E61A46" w:rsidRPr="00010E9D" w:rsidRDefault="00E61A46" w:rsidP="00E61A46">
            <w:pPr>
              <w:pStyle w:val="BodyTextIndent3"/>
              <w:ind w:left="0"/>
              <w:jc w:val="both"/>
              <w:rPr>
                <w:b/>
                <w:sz w:val="24"/>
                <w:szCs w:val="24"/>
              </w:rPr>
            </w:pPr>
            <w:r>
              <w:rPr>
                <w:b/>
                <w:sz w:val="24"/>
                <w:szCs w:val="24"/>
              </w:rPr>
              <w:t>Final allocation for the year</w:t>
            </w:r>
          </w:p>
        </w:tc>
        <w:tc>
          <w:tcPr>
            <w:tcW w:w="1418" w:type="dxa"/>
          </w:tcPr>
          <w:p w:rsidR="00E61A46" w:rsidRPr="00010E9D" w:rsidRDefault="00E61A46" w:rsidP="00E61A46">
            <w:pPr>
              <w:pStyle w:val="BodyTextIndent3"/>
              <w:ind w:left="0"/>
              <w:jc w:val="right"/>
              <w:rPr>
                <w:b/>
                <w:sz w:val="24"/>
                <w:szCs w:val="24"/>
              </w:rPr>
            </w:pPr>
            <w:r>
              <w:rPr>
                <w:b/>
                <w:sz w:val="24"/>
                <w:szCs w:val="24"/>
              </w:rPr>
              <w:t>139,709</w:t>
            </w:r>
          </w:p>
        </w:tc>
        <w:tc>
          <w:tcPr>
            <w:tcW w:w="1417" w:type="dxa"/>
          </w:tcPr>
          <w:p w:rsidR="00E61A46" w:rsidRPr="00010E9D" w:rsidRDefault="00E61A46" w:rsidP="00E61A46">
            <w:pPr>
              <w:pStyle w:val="BodyTextIndent3"/>
              <w:ind w:left="0"/>
              <w:jc w:val="right"/>
              <w:rPr>
                <w:b/>
                <w:sz w:val="24"/>
                <w:szCs w:val="24"/>
              </w:rPr>
            </w:pPr>
            <w:r>
              <w:rPr>
                <w:b/>
                <w:sz w:val="24"/>
                <w:szCs w:val="24"/>
              </w:rPr>
              <w:t>138,183</w:t>
            </w:r>
          </w:p>
        </w:tc>
      </w:tr>
    </w:tbl>
    <w:p w:rsidR="001C2B4D" w:rsidRDefault="001C2B4D" w:rsidP="00974BB9">
      <w:pPr>
        <w:pStyle w:val="BodyText"/>
        <w:ind w:left="720" w:hanging="720"/>
      </w:pPr>
    </w:p>
    <w:p w:rsidR="00164C7E" w:rsidRDefault="00164C7E" w:rsidP="00974BB9">
      <w:pPr>
        <w:pStyle w:val="BodyText"/>
        <w:ind w:left="720" w:hanging="720"/>
        <w:rPr>
          <w:rFonts w:ascii="Arial" w:hAnsi="Arial"/>
        </w:rPr>
      </w:pPr>
      <w:r>
        <w:rPr>
          <w:rFonts w:ascii="Arial" w:hAnsi="Arial"/>
        </w:rPr>
        <w:t>1.3</w:t>
      </w:r>
      <w:r>
        <w:rPr>
          <w:rFonts w:ascii="Arial" w:hAnsi="Arial"/>
        </w:rPr>
        <w:tab/>
        <w:t xml:space="preserve">This report will focus on the Early Years Block and the allocation of this funding to Mainstream Nurseries, Private, Voluntary and Independent Settings (PVIs) and </w:t>
      </w:r>
      <w:proofErr w:type="spellStart"/>
      <w:r>
        <w:rPr>
          <w:rFonts w:ascii="Arial" w:hAnsi="Arial"/>
        </w:rPr>
        <w:t>Childminders</w:t>
      </w:r>
      <w:proofErr w:type="spellEnd"/>
      <w:r>
        <w:rPr>
          <w:rFonts w:ascii="Arial" w:hAnsi="Arial"/>
        </w:rPr>
        <w:t xml:space="preserve"> through the Single Funding Formula.</w:t>
      </w:r>
    </w:p>
    <w:p w:rsidR="00904A8D" w:rsidRDefault="00904A8D">
      <w:pPr>
        <w:pStyle w:val="Header"/>
        <w:numPr>
          <w:ilvl w:val="0"/>
          <w:numId w:val="2"/>
        </w:numPr>
        <w:tabs>
          <w:tab w:val="clear" w:pos="720"/>
          <w:tab w:val="clear" w:pos="4153"/>
          <w:tab w:val="clear" w:pos="8306"/>
        </w:tabs>
        <w:ind w:hanging="720"/>
        <w:rPr>
          <w:b/>
          <w:sz w:val="28"/>
        </w:rPr>
      </w:pPr>
      <w:r>
        <w:rPr>
          <w:b/>
          <w:sz w:val="28"/>
        </w:rPr>
        <w:t>Details</w:t>
      </w:r>
    </w:p>
    <w:p w:rsidR="00904A8D" w:rsidRDefault="00904A8D">
      <w:pPr>
        <w:pStyle w:val="Header"/>
        <w:tabs>
          <w:tab w:val="clear" w:pos="4153"/>
          <w:tab w:val="clear" w:pos="8306"/>
        </w:tabs>
        <w:rPr>
          <w:b/>
          <w:sz w:val="28"/>
        </w:rPr>
      </w:pPr>
    </w:p>
    <w:p w:rsidR="00171895" w:rsidRPr="00E61A46" w:rsidRDefault="00BD3873" w:rsidP="00171895">
      <w:pPr>
        <w:pStyle w:val="Header"/>
        <w:numPr>
          <w:ilvl w:val="1"/>
          <w:numId w:val="2"/>
        </w:numPr>
        <w:tabs>
          <w:tab w:val="clear" w:pos="4153"/>
          <w:tab w:val="clear" w:pos="8306"/>
        </w:tabs>
        <w:ind w:hanging="720"/>
      </w:pPr>
      <w:r w:rsidRPr="00FF3903">
        <w:rPr>
          <w:szCs w:val="24"/>
        </w:rPr>
        <w:t xml:space="preserve">The </w:t>
      </w:r>
      <w:r w:rsidR="006C0C1F" w:rsidRPr="00FF3903">
        <w:rPr>
          <w:szCs w:val="24"/>
        </w:rPr>
        <w:t>Early Years</w:t>
      </w:r>
      <w:r w:rsidRPr="00FF3903">
        <w:rPr>
          <w:szCs w:val="24"/>
        </w:rPr>
        <w:t xml:space="preserve"> Block allocation is</w:t>
      </w:r>
      <w:r w:rsidR="00410D3D" w:rsidRPr="00FF3903">
        <w:rPr>
          <w:szCs w:val="24"/>
        </w:rPr>
        <w:t xml:space="preserve"> split into the following areas</w:t>
      </w:r>
      <w:r w:rsidRPr="00FF3903">
        <w:rPr>
          <w:szCs w:val="24"/>
        </w:rPr>
        <w:t>:</w:t>
      </w:r>
    </w:p>
    <w:p w:rsidR="00E61A46" w:rsidRPr="00FF3903" w:rsidRDefault="00E61A46" w:rsidP="00E61A46">
      <w:pPr>
        <w:pStyle w:val="Header"/>
        <w:tabs>
          <w:tab w:val="clear" w:pos="4153"/>
          <w:tab w:val="clear" w:pos="8306"/>
        </w:tabs>
        <w:ind w:left="720"/>
      </w:pPr>
    </w:p>
    <w:tbl>
      <w:tblPr>
        <w:tblW w:w="8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6"/>
        <w:gridCol w:w="1417"/>
        <w:gridCol w:w="1417"/>
      </w:tblGrid>
      <w:tr w:rsidR="00E61A46" w:rsidRPr="00010E9D" w:rsidTr="00E61A46">
        <w:tc>
          <w:tcPr>
            <w:tcW w:w="5376" w:type="dxa"/>
            <w:shd w:val="clear" w:color="auto" w:fill="C0C0C0"/>
          </w:tcPr>
          <w:p w:rsidR="00E61A46" w:rsidRPr="00010E9D" w:rsidRDefault="00E61A46" w:rsidP="00010E9D">
            <w:pPr>
              <w:pStyle w:val="BodyTextIndent3"/>
              <w:ind w:left="0"/>
              <w:jc w:val="both"/>
              <w:rPr>
                <w:b/>
                <w:sz w:val="24"/>
                <w:szCs w:val="24"/>
              </w:rPr>
            </w:pPr>
          </w:p>
          <w:p w:rsidR="00E61A46" w:rsidRPr="00010E9D" w:rsidRDefault="00E61A46" w:rsidP="00010E9D">
            <w:pPr>
              <w:pStyle w:val="BodyTextIndent3"/>
              <w:ind w:left="0"/>
              <w:jc w:val="both"/>
              <w:rPr>
                <w:b/>
                <w:sz w:val="24"/>
                <w:szCs w:val="24"/>
              </w:rPr>
            </w:pPr>
            <w:r w:rsidRPr="00010E9D">
              <w:rPr>
                <w:b/>
                <w:sz w:val="24"/>
                <w:szCs w:val="24"/>
              </w:rPr>
              <w:t>Description</w:t>
            </w:r>
          </w:p>
        </w:tc>
        <w:tc>
          <w:tcPr>
            <w:tcW w:w="1417" w:type="dxa"/>
            <w:shd w:val="clear" w:color="auto" w:fill="C0C0C0"/>
          </w:tcPr>
          <w:p w:rsidR="00E61A46" w:rsidRPr="00010E9D" w:rsidRDefault="00E61A46" w:rsidP="001C3BE0">
            <w:pPr>
              <w:pStyle w:val="BodyTextIndent3"/>
              <w:ind w:left="0"/>
              <w:jc w:val="right"/>
              <w:rPr>
                <w:b/>
                <w:sz w:val="24"/>
                <w:szCs w:val="24"/>
              </w:rPr>
            </w:pPr>
            <w:r>
              <w:rPr>
                <w:b/>
                <w:sz w:val="24"/>
                <w:szCs w:val="24"/>
              </w:rPr>
              <w:t>2016/17</w:t>
            </w:r>
          </w:p>
          <w:p w:rsidR="00E61A46" w:rsidRPr="00010E9D" w:rsidRDefault="00E61A46" w:rsidP="001C3BE0">
            <w:pPr>
              <w:pStyle w:val="BodyTextIndent3"/>
              <w:ind w:left="0"/>
              <w:jc w:val="right"/>
              <w:rPr>
                <w:b/>
                <w:sz w:val="24"/>
                <w:szCs w:val="24"/>
              </w:rPr>
            </w:pPr>
            <w:r w:rsidRPr="00010E9D">
              <w:rPr>
                <w:b/>
                <w:sz w:val="24"/>
                <w:szCs w:val="24"/>
              </w:rPr>
              <w:t>£000</w:t>
            </w:r>
          </w:p>
        </w:tc>
        <w:tc>
          <w:tcPr>
            <w:tcW w:w="1417" w:type="dxa"/>
            <w:shd w:val="clear" w:color="auto" w:fill="C0C0C0"/>
          </w:tcPr>
          <w:p w:rsidR="00E61A46" w:rsidRPr="00010E9D" w:rsidRDefault="00E61A46" w:rsidP="00E61A46">
            <w:pPr>
              <w:pStyle w:val="BodyTextIndent3"/>
              <w:ind w:left="0"/>
              <w:jc w:val="right"/>
              <w:rPr>
                <w:b/>
                <w:sz w:val="24"/>
                <w:szCs w:val="24"/>
              </w:rPr>
            </w:pPr>
            <w:r>
              <w:rPr>
                <w:b/>
                <w:sz w:val="24"/>
                <w:szCs w:val="24"/>
              </w:rPr>
              <w:t>2015/16</w:t>
            </w:r>
          </w:p>
          <w:p w:rsidR="00E61A46" w:rsidRPr="00010E9D" w:rsidRDefault="00E61A46" w:rsidP="00E61A46">
            <w:pPr>
              <w:pStyle w:val="BodyTextIndent3"/>
              <w:ind w:left="0"/>
              <w:jc w:val="right"/>
              <w:rPr>
                <w:b/>
                <w:sz w:val="24"/>
                <w:szCs w:val="24"/>
              </w:rPr>
            </w:pPr>
            <w:r w:rsidRPr="00010E9D">
              <w:rPr>
                <w:b/>
                <w:sz w:val="24"/>
                <w:szCs w:val="24"/>
              </w:rPr>
              <w:t>£000</w:t>
            </w:r>
          </w:p>
        </w:tc>
      </w:tr>
      <w:tr w:rsidR="00374AD2" w:rsidTr="00374AD2">
        <w:tc>
          <w:tcPr>
            <w:tcW w:w="5376" w:type="dxa"/>
            <w:shd w:val="clear" w:color="auto" w:fill="auto"/>
          </w:tcPr>
          <w:p w:rsidR="00374AD2" w:rsidRPr="00010E9D" w:rsidRDefault="00374AD2" w:rsidP="00374AD2">
            <w:pPr>
              <w:pStyle w:val="BodyTextIndent3"/>
              <w:ind w:left="0"/>
              <w:jc w:val="both"/>
              <w:rPr>
                <w:sz w:val="24"/>
                <w:szCs w:val="24"/>
              </w:rPr>
            </w:pPr>
            <w:r>
              <w:rPr>
                <w:sz w:val="24"/>
                <w:szCs w:val="24"/>
              </w:rPr>
              <w:t>3 and 4 year old funding- maintained schools</w:t>
            </w:r>
          </w:p>
        </w:tc>
        <w:tc>
          <w:tcPr>
            <w:tcW w:w="1417" w:type="dxa"/>
          </w:tcPr>
          <w:p w:rsidR="00374AD2" w:rsidRPr="00010E9D" w:rsidRDefault="00374AD2" w:rsidP="00374AD2">
            <w:pPr>
              <w:pStyle w:val="BodyTextIndent3"/>
              <w:ind w:left="0"/>
              <w:jc w:val="right"/>
              <w:rPr>
                <w:sz w:val="24"/>
                <w:szCs w:val="24"/>
              </w:rPr>
            </w:pPr>
            <w:r>
              <w:rPr>
                <w:sz w:val="24"/>
                <w:szCs w:val="24"/>
              </w:rPr>
              <w:t>5,794</w:t>
            </w:r>
          </w:p>
        </w:tc>
        <w:tc>
          <w:tcPr>
            <w:tcW w:w="1417" w:type="dxa"/>
          </w:tcPr>
          <w:p w:rsidR="00374AD2" w:rsidRPr="00010E9D" w:rsidRDefault="00374AD2" w:rsidP="00374AD2">
            <w:pPr>
              <w:pStyle w:val="BodyTextIndent3"/>
              <w:ind w:left="0"/>
              <w:jc w:val="right"/>
              <w:rPr>
                <w:sz w:val="24"/>
                <w:szCs w:val="24"/>
              </w:rPr>
            </w:pPr>
            <w:r>
              <w:rPr>
                <w:sz w:val="24"/>
                <w:szCs w:val="24"/>
              </w:rPr>
              <w:t>5,854</w:t>
            </w:r>
          </w:p>
        </w:tc>
      </w:tr>
      <w:tr w:rsidR="00374AD2" w:rsidTr="00374AD2">
        <w:tc>
          <w:tcPr>
            <w:tcW w:w="5376" w:type="dxa"/>
            <w:shd w:val="clear" w:color="auto" w:fill="auto"/>
          </w:tcPr>
          <w:p w:rsidR="00374AD2" w:rsidRPr="00010E9D" w:rsidRDefault="00374AD2" w:rsidP="00374AD2">
            <w:pPr>
              <w:pStyle w:val="BodyTextIndent3"/>
              <w:ind w:left="0"/>
              <w:jc w:val="both"/>
              <w:rPr>
                <w:sz w:val="24"/>
                <w:szCs w:val="24"/>
              </w:rPr>
            </w:pPr>
            <w:r>
              <w:rPr>
                <w:sz w:val="24"/>
                <w:szCs w:val="24"/>
              </w:rPr>
              <w:t>3 and 4 year old funding- PVI</w:t>
            </w:r>
            <w:r w:rsidR="00C3413F">
              <w:rPr>
                <w:sz w:val="24"/>
                <w:szCs w:val="24"/>
              </w:rPr>
              <w:t>s</w:t>
            </w:r>
          </w:p>
        </w:tc>
        <w:tc>
          <w:tcPr>
            <w:tcW w:w="1417" w:type="dxa"/>
          </w:tcPr>
          <w:p w:rsidR="00374AD2" w:rsidRPr="00010E9D" w:rsidRDefault="00374AD2" w:rsidP="00374AD2">
            <w:pPr>
              <w:pStyle w:val="BodyTextIndent3"/>
              <w:ind w:left="0"/>
              <w:jc w:val="right"/>
              <w:rPr>
                <w:sz w:val="24"/>
                <w:szCs w:val="24"/>
              </w:rPr>
            </w:pPr>
            <w:r>
              <w:rPr>
                <w:sz w:val="24"/>
                <w:szCs w:val="24"/>
              </w:rPr>
              <w:t>2,722</w:t>
            </w:r>
          </w:p>
        </w:tc>
        <w:tc>
          <w:tcPr>
            <w:tcW w:w="1417" w:type="dxa"/>
          </w:tcPr>
          <w:p w:rsidR="00374AD2" w:rsidRPr="00010E9D" w:rsidRDefault="00374AD2" w:rsidP="00374AD2">
            <w:pPr>
              <w:pStyle w:val="BodyTextIndent3"/>
              <w:ind w:left="0"/>
              <w:jc w:val="right"/>
              <w:rPr>
                <w:sz w:val="24"/>
                <w:szCs w:val="24"/>
              </w:rPr>
            </w:pPr>
            <w:r>
              <w:rPr>
                <w:sz w:val="24"/>
                <w:szCs w:val="24"/>
              </w:rPr>
              <w:t>2,500</w:t>
            </w:r>
          </w:p>
        </w:tc>
      </w:tr>
      <w:tr w:rsidR="00374AD2" w:rsidTr="00374AD2">
        <w:tc>
          <w:tcPr>
            <w:tcW w:w="5376" w:type="dxa"/>
            <w:shd w:val="clear" w:color="auto" w:fill="auto"/>
          </w:tcPr>
          <w:p w:rsidR="00374AD2" w:rsidRPr="00010E9D" w:rsidRDefault="00374AD2" w:rsidP="00374AD2">
            <w:pPr>
              <w:pStyle w:val="BodyTextIndent3"/>
              <w:ind w:left="0"/>
              <w:jc w:val="both"/>
              <w:rPr>
                <w:sz w:val="24"/>
                <w:szCs w:val="24"/>
              </w:rPr>
            </w:pPr>
            <w:r>
              <w:rPr>
                <w:sz w:val="24"/>
                <w:szCs w:val="24"/>
              </w:rPr>
              <w:t>2 Year Old Offer</w:t>
            </w:r>
          </w:p>
        </w:tc>
        <w:tc>
          <w:tcPr>
            <w:tcW w:w="1417" w:type="dxa"/>
          </w:tcPr>
          <w:p w:rsidR="00374AD2" w:rsidRPr="00010E9D" w:rsidRDefault="00374AD2" w:rsidP="00374AD2">
            <w:pPr>
              <w:pStyle w:val="BodyTextIndent3"/>
              <w:ind w:left="0"/>
              <w:jc w:val="right"/>
              <w:rPr>
                <w:sz w:val="24"/>
                <w:szCs w:val="24"/>
              </w:rPr>
            </w:pPr>
            <w:r>
              <w:rPr>
                <w:sz w:val="24"/>
                <w:szCs w:val="24"/>
              </w:rPr>
              <w:t>1,607</w:t>
            </w:r>
          </w:p>
        </w:tc>
        <w:tc>
          <w:tcPr>
            <w:tcW w:w="1417" w:type="dxa"/>
          </w:tcPr>
          <w:p w:rsidR="00374AD2" w:rsidRPr="00010E9D" w:rsidRDefault="00374AD2" w:rsidP="00374AD2">
            <w:pPr>
              <w:pStyle w:val="BodyTextIndent3"/>
              <w:ind w:left="0"/>
              <w:jc w:val="right"/>
              <w:rPr>
                <w:sz w:val="24"/>
                <w:szCs w:val="24"/>
              </w:rPr>
            </w:pPr>
            <w:r>
              <w:rPr>
                <w:sz w:val="24"/>
                <w:szCs w:val="24"/>
              </w:rPr>
              <w:t>1,545</w:t>
            </w:r>
          </w:p>
        </w:tc>
      </w:tr>
      <w:tr w:rsidR="00E61A46" w:rsidTr="00E61A46">
        <w:tc>
          <w:tcPr>
            <w:tcW w:w="5376" w:type="dxa"/>
            <w:shd w:val="clear" w:color="auto" w:fill="auto"/>
          </w:tcPr>
          <w:p w:rsidR="00E61A46" w:rsidRPr="00010E9D" w:rsidRDefault="00E61A46" w:rsidP="00010E9D">
            <w:pPr>
              <w:pStyle w:val="BodyTextIndent3"/>
              <w:ind w:left="0"/>
              <w:jc w:val="both"/>
              <w:rPr>
                <w:sz w:val="24"/>
                <w:szCs w:val="24"/>
              </w:rPr>
            </w:pPr>
            <w:r w:rsidRPr="00010E9D">
              <w:rPr>
                <w:sz w:val="24"/>
                <w:szCs w:val="24"/>
              </w:rPr>
              <w:t>Centrally Retained Items</w:t>
            </w:r>
          </w:p>
        </w:tc>
        <w:tc>
          <w:tcPr>
            <w:tcW w:w="1417" w:type="dxa"/>
          </w:tcPr>
          <w:p w:rsidR="00E61A46" w:rsidRPr="00010E9D" w:rsidRDefault="00E61A46" w:rsidP="00487E02">
            <w:pPr>
              <w:pStyle w:val="BodyTextIndent3"/>
              <w:ind w:left="0"/>
              <w:jc w:val="right"/>
              <w:rPr>
                <w:sz w:val="24"/>
                <w:szCs w:val="24"/>
              </w:rPr>
            </w:pPr>
            <w:r>
              <w:rPr>
                <w:sz w:val="24"/>
                <w:szCs w:val="24"/>
              </w:rPr>
              <w:t>694</w:t>
            </w:r>
          </w:p>
        </w:tc>
        <w:tc>
          <w:tcPr>
            <w:tcW w:w="1417" w:type="dxa"/>
          </w:tcPr>
          <w:p w:rsidR="00E61A46" w:rsidRPr="00010E9D" w:rsidRDefault="00E61A46" w:rsidP="00E61A46">
            <w:pPr>
              <w:pStyle w:val="BodyTextIndent3"/>
              <w:ind w:left="0"/>
              <w:jc w:val="right"/>
              <w:rPr>
                <w:sz w:val="24"/>
                <w:szCs w:val="24"/>
              </w:rPr>
            </w:pPr>
            <w:r>
              <w:rPr>
                <w:sz w:val="24"/>
                <w:szCs w:val="24"/>
              </w:rPr>
              <w:t>679</w:t>
            </w:r>
          </w:p>
        </w:tc>
      </w:tr>
      <w:tr w:rsidR="00E61A46" w:rsidTr="00E61A46">
        <w:tc>
          <w:tcPr>
            <w:tcW w:w="5376" w:type="dxa"/>
            <w:shd w:val="clear" w:color="auto" w:fill="auto"/>
          </w:tcPr>
          <w:p w:rsidR="00E61A46" w:rsidRDefault="00E61A46" w:rsidP="00FD2F5E">
            <w:pPr>
              <w:pStyle w:val="BodyTextIndent3"/>
              <w:ind w:left="0"/>
              <w:jc w:val="both"/>
              <w:rPr>
                <w:sz w:val="24"/>
                <w:szCs w:val="24"/>
              </w:rPr>
            </w:pPr>
            <w:r>
              <w:rPr>
                <w:sz w:val="24"/>
                <w:szCs w:val="24"/>
              </w:rPr>
              <w:t>Contingency</w:t>
            </w:r>
          </w:p>
        </w:tc>
        <w:tc>
          <w:tcPr>
            <w:tcW w:w="1417" w:type="dxa"/>
          </w:tcPr>
          <w:p w:rsidR="00E61A46" w:rsidRDefault="00D23680" w:rsidP="001C3BE0">
            <w:pPr>
              <w:pStyle w:val="BodyTextIndent3"/>
              <w:ind w:left="0"/>
              <w:jc w:val="right"/>
              <w:rPr>
                <w:sz w:val="24"/>
                <w:szCs w:val="24"/>
              </w:rPr>
            </w:pPr>
            <w:r>
              <w:rPr>
                <w:sz w:val="24"/>
                <w:szCs w:val="24"/>
              </w:rPr>
              <w:t>174</w:t>
            </w:r>
          </w:p>
        </w:tc>
        <w:tc>
          <w:tcPr>
            <w:tcW w:w="1417" w:type="dxa"/>
          </w:tcPr>
          <w:p w:rsidR="00E61A46" w:rsidRDefault="00AC15C4" w:rsidP="00E61A46">
            <w:pPr>
              <w:pStyle w:val="BodyTextIndent3"/>
              <w:ind w:left="0"/>
              <w:jc w:val="right"/>
              <w:rPr>
                <w:sz w:val="24"/>
                <w:szCs w:val="24"/>
              </w:rPr>
            </w:pPr>
            <w:r>
              <w:rPr>
                <w:sz w:val="24"/>
                <w:szCs w:val="24"/>
              </w:rPr>
              <w:t>413</w:t>
            </w:r>
          </w:p>
        </w:tc>
      </w:tr>
      <w:tr w:rsidR="00E61A46" w:rsidRPr="00FF3903" w:rsidTr="00E61A46">
        <w:tc>
          <w:tcPr>
            <w:tcW w:w="5376" w:type="dxa"/>
            <w:shd w:val="clear" w:color="auto" w:fill="auto"/>
          </w:tcPr>
          <w:p w:rsidR="00E61A46" w:rsidRPr="00FF3903" w:rsidRDefault="00E61A46" w:rsidP="00FD2F5E">
            <w:pPr>
              <w:pStyle w:val="BodyTextIndent3"/>
              <w:ind w:left="0"/>
              <w:jc w:val="both"/>
              <w:rPr>
                <w:sz w:val="24"/>
                <w:szCs w:val="24"/>
              </w:rPr>
            </w:pPr>
            <w:r w:rsidRPr="00FF3903">
              <w:rPr>
                <w:sz w:val="24"/>
                <w:szCs w:val="24"/>
              </w:rPr>
              <w:t>Pupil Premium</w:t>
            </w:r>
          </w:p>
        </w:tc>
        <w:tc>
          <w:tcPr>
            <w:tcW w:w="1417" w:type="dxa"/>
          </w:tcPr>
          <w:p w:rsidR="00E61A46" w:rsidRPr="00FF3903" w:rsidRDefault="00AC15C4" w:rsidP="001C3BE0">
            <w:pPr>
              <w:pStyle w:val="BodyTextIndent3"/>
              <w:ind w:left="0"/>
              <w:jc w:val="right"/>
              <w:rPr>
                <w:sz w:val="24"/>
                <w:szCs w:val="24"/>
              </w:rPr>
            </w:pPr>
            <w:r>
              <w:rPr>
                <w:sz w:val="24"/>
                <w:szCs w:val="24"/>
              </w:rPr>
              <w:t>199</w:t>
            </w:r>
          </w:p>
        </w:tc>
        <w:tc>
          <w:tcPr>
            <w:tcW w:w="1417" w:type="dxa"/>
          </w:tcPr>
          <w:p w:rsidR="00E61A46" w:rsidRPr="00FF3903" w:rsidRDefault="00E61A46" w:rsidP="00E61A46">
            <w:pPr>
              <w:pStyle w:val="BodyTextIndent3"/>
              <w:ind w:left="0"/>
              <w:jc w:val="right"/>
              <w:rPr>
                <w:sz w:val="24"/>
                <w:szCs w:val="24"/>
              </w:rPr>
            </w:pPr>
            <w:r w:rsidRPr="00FF3903">
              <w:rPr>
                <w:sz w:val="24"/>
                <w:szCs w:val="24"/>
              </w:rPr>
              <w:t>199</w:t>
            </w:r>
          </w:p>
        </w:tc>
      </w:tr>
      <w:tr w:rsidR="00374AD2" w:rsidTr="00374AD2">
        <w:tc>
          <w:tcPr>
            <w:tcW w:w="5376" w:type="dxa"/>
            <w:shd w:val="clear" w:color="auto" w:fill="auto"/>
          </w:tcPr>
          <w:p w:rsidR="00374AD2" w:rsidRDefault="00374AD2" w:rsidP="00374AD2">
            <w:pPr>
              <w:pStyle w:val="BodyTextIndent3"/>
              <w:ind w:left="0"/>
              <w:jc w:val="both"/>
              <w:rPr>
                <w:sz w:val="24"/>
                <w:szCs w:val="24"/>
              </w:rPr>
            </w:pPr>
            <w:r w:rsidRPr="00010E9D">
              <w:rPr>
                <w:sz w:val="24"/>
                <w:szCs w:val="24"/>
              </w:rPr>
              <w:t xml:space="preserve">Transfers </w:t>
            </w:r>
            <w:r>
              <w:rPr>
                <w:sz w:val="24"/>
                <w:szCs w:val="24"/>
              </w:rPr>
              <w:t>between blocks</w:t>
            </w:r>
          </w:p>
        </w:tc>
        <w:tc>
          <w:tcPr>
            <w:tcW w:w="1417" w:type="dxa"/>
          </w:tcPr>
          <w:p w:rsidR="00374AD2" w:rsidRDefault="00374AD2" w:rsidP="00374AD2">
            <w:pPr>
              <w:pStyle w:val="BodyTextIndent3"/>
              <w:ind w:left="0"/>
              <w:jc w:val="right"/>
              <w:rPr>
                <w:sz w:val="24"/>
                <w:szCs w:val="24"/>
              </w:rPr>
            </w:pPr>
            <w:r>
              <w:rPr>
                <w:sz w:val="24"/>
                <w:szCs w:val="24"/>
              </w:rPr>
              <w:t>(68)</w:t>
            </w:r>
          </w:p>
        </w:tc>
        <w:tc>
          <w:tcPr>
            <w:tcW w:w="1417" w:type="dxa"/>
          </w:tcPr>
          <w:p w:rsidR="00374AD2" w:rsidRDefault="00374AD2" w:rsidP="00374AD2">
            <w:pPr>
              <w:pStyle w:val="BodyTextIndent3"/>
              <w:ind w:left="0"/>
              <w:jc w:val="right"/>
              <w:rPr>
                <w:sz w:val="24"/>
                <w:szCs w:val="24"/>
              </w:rPr>
            </w:pPr>
            <w:r>
              <w:rPr>
                <w:sz w:val="24"/>
                <w:szCs w:val="24"/>
              </w:rPr>
              <w:t>(68)</w:t>
            </w:r>
          </w:p>
        </w:tc>
      </w:tr>
      <w:tr w:rsidR="00E61A46" w:rsidRPr="00010E9D" w:rsidTr="00E61A46">
        <w:tc>
          <w:tcPr>
            <w:tcW w:w="5376" w:type="dxa"/>
            <w:shd w:val="clear" w:color="auto" w:fill="auto"/>
          </w:tcPr>
          <w:p w:rsidR="00E61A46" w:rsidRPr="00010E9D" w:rsidRDefault="00E61A46" w:rsidP="00FD2F5E">
            <w:pPr>
              <w:pStyle w:val="BodyTextIndent3"/>
              <w:ind w:left="0"/>
              <w:jc w:val="both"/>
              <w:rPr>
                <w:b/>
                <w:sz w:val="24"/>
                <w:szCs w:val="24"/>
              </w:rPr>
            </w:pPr>
            <w:r w:rsidRPr="00010E9D">
              <w:rPr>
                <w:b/>
                <w:sz w:val="24"/>
                <w:szCs w:val="24"/>
              </w:rPr>
              <w:t xml:space="preserve">Total </w:t>
            </w:r>
            <w:r>
              <w:rPr>
                <w:b/>
                <w:sz w:val="24"/>
                <w:szCs w:val="24"/>
              </w:rPr>
              <w:t>Early Years</w:t>
            </w:r>
            <w:r w:rsidRPr="00010E9D">
              <w:rPr>
                <w:b/>
                <w:sz w:val="24"/>
                <w:szCs w:val="24"/>
              </w:rPr>
              <w:t xml:space="preserve"> Block</w:t>
            </w:r>
          </w:p>
        </w:tc>
        <w:tc>
          <w:tcPr>
            <w:tcW w:w="1417" w:type="dxa"/>
          </w:tcPr>
          <w:p w:rsidR="00E61A46" w:rsidRPr="00010E9D" w:rsidRDefault="00E61A46" w:rsidP="001C3BE0">
            <w:pPr>
              <w:pStyle w:val="BodyTextIndent3"/>
              <w:ind w:left="0"/>
              <w:jc w:val="right"/>
              <w:rPr>
                <w:b/>
                <w:sz w:val="24"/>
                <w:szCs w:val="24"/>
              </w:rPr>
            </w:pPr>
            <w:r>
              <w:rPr>
                <w:b/>
                <w:sz w:val="24"/>
                <w:szCs w:val="24"/>
              </w:rPr>
              <w:t>11,122</w:t>
            </w:r>
          </w:p>
        </w:tc>
        <w:tc>
          <w:tcPr>
            <w:tcW w:w="1417" w:type="dxa"/>
          </w:tcPr>
          <w:p w:rsidR="00E61A46" w:rsidRPr="00010E9D" w:rsidRDefault="00E61A46" w:rsidP="00E61A46">
            <w:pPr>
              <w:pStyle w:val="BodyTextIndent3"/>
              <w:ind w:left="0"/>
              <w:jc w:val="right"/>
              <w:rPr>
                <w:b/>
                <w:sz w:val="24"/>
                <w:szCs w:val="24"/>
              </w:rPr>
            </w:pPr>
            <w:r>
              <w:rPr>
                <w:b/>
                <w:sz w:val="24"/>
                <w:szCs w:val="24"/>
              </w:rPr>
              <w:t>11,122</w:t>
            </w:r>
          </w:p>
        </w:tc>
      </w:tr>
    </w:tbl>
    <w:p w:rsidR="00E61A46" w:rsidRDefault="00E61A46" w:rsidP="00E61A46">
      <w:pPr>
        <w:pStyle w:val="Header"/>
        <w:tabs>
          <w:tab w:val="clear" w:pos="4153"/>
          <w:tab w:val="clear" w:pos="8306"/>
        </w:tabs>
        <w:ind w:left="720"/>
      </w:pPr>
    </w:p>
    <w:p w:rsidR="00374AD2" w:rsidRDefault="00374AD2" w:rsidP="00410D3D">
      <w:pPr>
        <w:pStyle w:val="Header"/>
        <w:numPr>
          <w:ilvl w:val="1"/>
          <w:numId w:val="2"/>
        </w:numPr>
        <w:tabs>
          <w:tab w:val="clear" w:pos="4153"/>
          <w:tab w:val="clear" w:pos="8306"/>
        </w:tabs>
        <w:ind w:hanging="720"/>
      </w:pPr>
      <w:r>
        <w:lastRenderedPageBreak/>
        <w:t>Based on the 2015 calendar year pupil counts, the estimated funding relating to 3 and 4 year old children for Merton maintained schools and PVI settings is expected to be £5.794m and £2.722m respectively for 2016/17. These are indicative budgets and the figures will be updated every term following the actual pupil counts. The formula used to allocate this funding is detailed in section 3. A summary of the factors used and the total budgets allocated against each factor for maintained schools and PVI settings can be found at Appendix A.</w:t>
      </w:r>
    </w:p>
    <w:p w:rsidR="00374AD2" w:rsidRDefault="00374AD2" w:rsidP="00374AD2">
      <w:pPr>
        <w:pStyle w:val="Header"/>
        <w:tabs>
          <w:tab w:val="clear" w:pos="4153"/>
          <w:tab w:val="clear" w:pos="8306"/>
        </w:tabs>
        <w:ind w:left="720"/>
      </w:pPr>
    </w:p>
    <w:p w:rsidR="00374AD2" w:rsidRDefault="00374AD2" w:rsidP="00410D3D">
      <w:pPr>
        <w:pStyle w:val="Header"/>
        <w:numPr>
          <w:ilvl w:val="1"/>
          <w:numId w:val="2"/>
        </w:numPr>
        <w:tabs>
          <w:tab w:val="clear" w:pos="4153"/>
          <w:tab w:val="clear" w:pos="8306"/>
        </w:tabs>
        <w:ind w:hanging="720"/>
      </w:pPr>
      <w:r>
        <w:t>The funding method for two year olds changed in 2015/16. There is no trajectory funding and the pupil led funding is based on participation rather than eligibility.</w:t>
      </w:r>
      <w:r w:rsidRPr="00EA0328">
        <w:t xml:space="preserve"> </w:t>
      </w:r>
      <w:r>
        <w:t xml:space="preserve">Based on the 2015 calendar year pupil counts, the estimated funding relating to 2 year old children for Merton PVI settings is expected to be £1.607m for 2016/17. The formula used to allocate this funding is detailed in section 3. </w:t>
      </w:r>
      <w:r w:rsidRPr="00EA0328">
        <w:t>A summary of the total budgets allocated against each set</w:t>
      </w:r>
      <w:r w:rsidR="00C3413F">
        <w:t>ting</w:t>
      </w:r>
      <w:r>
        <w:t xml:space="preserve"> can be found at Appendix B.</w:t>
      </w:r>
    </w:p>
    <w:p w:rsidR="00374AD2" w:rsidRDefault="00374AD2" w:rsidP="00374AD2">
      <w:pPr>
        <w:pStyle w:val="ListParagraph"/>
      </w:pPr>
    </w:p>
    <w:p w:rsidR="00374AD2" w:rsidRDefault="00374AD2" w:rsidP="00410D3D">
      <w:pPr>
        <w:pStyle w:val="Header"/>
        <w:numPr>
          <w:ilvl w:val="1"/>
          <w:numId w:val="2"/>
        </w:numPr>
        <w:tabs>
          <w:tab w:val="clear" w:pos="4153"/>
          <w:tab w:val="clear" w:pos="8306"/>
        </w:tabs>
        <w:ind w:hanging="720"/>
      </w:pPr>
      <w:r>
        <w:t>The £694k for centrally retained items includes funding for quality and standards, childcare and some enhanced early intervention services.</w:t>
      </w:r>
    </w:p>
    <w:p w:rsidR="004A2B5D" w:rsidRDefault="004A2B5D" w:rsidP="00374AD2">
      <w:pPr>
        <w:pStyle w:val="Header"/>
        <w:tabs>
          <w:tab w:val="clear" w:pos="4153"/>
          <w:tab w:val="clear" w:pos="8306"/>
        </w:tabs>
      </w:pPr>
    </w:p>
    <w:p w:rsidR="004A2B5D" w:rsidRDefault="00272BD9" w:rsidP="00EC2DB9">
      <w:pPr>
        <w:pStyle w:val="Header"/>
        <w:numPr>
          <w:ilvl w:val="1"/>
          <w:numId w:val="2"/>
        </w:numPr>
        <w:tabs>
          <w:tab w:val="clear" w:pos="4153"/>
          <w:tab w:val="clear" w:pos="8306"/>
        </w:tabs>
        <w:ind w:hanging="720"/>
      </w:pPr>
      <w:r>
        <w:t>The contingency has been</w:t>
      </w:r>
      <w:r w:rsidR="00D23680">
        <w:t xml:space="preserve"> reduced to £174</w:t>
      </w:r>
      <w:r w:rsidR="007F14DE">
        <w:t>k</w:t>
      </w:r>
      <w:r w:rsidR="00701104">
        <w:t xml:space="preserve"> for 2016</w:t>
      </w:r>
      <w:r w:rsidR="00CF2F26">
        <w:t>/</w:t>
      </w:r>
      <w:r w:rsidR="005E0076">
        <w:t>1</w:t>
      </w:r>
      <w:r w:rsidR="00701104">
        <w:t>7</w:t>
      </w:r>
      <w:r w:rsidR="00343274">
        <w:t>. This</w:t>
      </w:r>
      <w:r w:rsidR="00701104">
        <w:t xml:space="preserve"> is because the </w:t>
      </w:r>
      <w:r>
        <w:t xml:space="preserve">funding for SEN requirements </w:t>
      </w:r>
      <w:r w:rsidR="00701104">
        <w:t xml:space="preserve">has now been agreed and will be paid through the </w:t>
      </w:r>
      <w:r w:rsidR="00782CF0">
        <w:t xml:space="preserve">funding </w:t>
      </w:r>
      <w:r w:rsidR="00701104">
        <w:t>formula</w:t>
      </w:r>
      <w:r>
        <w:t>.</w:t>
      </w:r>
    </w:p>
    <w:p w:rsidR="00A63016" w:rsidRDefault="00A63016" w:rsidP="00A63016">
      <w:pPr>
        <w:pStyle w:val="Header"/>
        <w:tabs>
          <w:tab w:val="clear" w:pos="4153"/>
          <w:tab w:val="clear" w:pos="8306"/>
        </w:tabs>
      </w:pPr>
    </w:p>
    <w:p w:rsidR="009C5A47" w:rsidRPr="00374AD2" w:rsidRDefault="00C3413F" w:rsidP="00EC2DB9">
      <w:pPr>
        <w:pStyle w:val="Header"/>
        <w:numPr>
          <w:ilvl w:val="1"/>
          <w:numId w:val="2"/>
        </w:numPr>
        <w:tabs>
          <w:tab w:val="clear" w:pos="4153"/>
          <w:tab w:val="clear" w:pos="8306"/>
        </w:tabs>
        <w:ind w:hanging="720"/>
      </w:pPr>
      <w:r>
        <w:rPr>
          <w:rFonts w:cs="Arial"/>
          <w:szCs w:val="24"/>
        </w:rPr>
        <w:t>The EF</w:t>
      </w:r>
      <w:r w:rsidR="009C5A47">
        <w:rPr>
          <w:rFonts w:cs="Arial"/>
          <w:szCs w:val="24"/>
        </w:rPr>
        <w:t xml:space="preserve">A has introduced </w:t>
      </w:r>
      <w:r w:rsidR="006331E9">
        <w:rPr>
          <w:rFonts w:cs="Arial"/>
          <w:szCs w:val="24"/>
        </w:rPr>
        <w:t>an</w:t>
      </w:r>
      <w:r w:rsidR="009C5A47">
        <w:rPr>
          <w:rFonts w:cs="Arial"/>
          <w:szCs w:val="24"/>
        </w:rPr>
        <w:t xml:space="preserve"> Early Years Pupil Premium from 2015</w:t>
      </w:r>
      <w:r w:rsidR="00462DF1">
        <w:rPr>
          <w:rFonts w:cs="Arial"/>
          <w:szCs w:val="24"/>
        </w:rPr>
        <w:t>/16</w:t>
      </w:r>
      <w:r w:rsidR="009C5A47">
        <w:rPr>
          <w:rFonts w:cs="Arial"/>
          <w:szCs w:val="24"/>
        </w:rPr>
        <w:t>. The indicative allocatio</w:t>
      </w:r>
      <w:r w:rsidR="00B908DE">
        <w:rPr>
          <w:rFonts w:cs="Arial"/>
          <w:szCs w:val="24"/>
        </w:rPr>
        <w:t>n for Merton is £199k. This is</w:t>
      </w:r>
      <w:r w:rsidR="009C5A47">
        <w:rPr>
          <w:rFonts w:cs="Arial"/>
          <w:szCs w:val="24"/>
        </w:rPr>
        <w:t xml:space="preserve"> paid to settings</w:t>
      </w:r>
      <w:r w:rsidR="006331E9">
        <w:rPr>
          <w:rFonts w:cs="Arial"/>
          <w:szCs w:val="24"/>
        </w:rPr>
        <w:t xml:space="preserve"> and schools </w:t>
      </w:r>
      <w:r w:rsidR="009C5A47">
        <w:rPr>
          <w:rFonts w:cs="Arial"/>
          <w:szCs w:val="24"/>
        </w:rPr>
        <w:t xml:space="preserve">after </w:t>
      </w:r>
      <w:r w:rsidR="006331E9">
        <w:rPr>
          <w:rFonts w:cs="Arial"/>
          <w:szCs w:val="24"/>
        </w:rPr>
        <w:t>each</w:t>
      </w:r>
      <w:r w:rsidR="009C5A47">
        <w:rPr>
          <w:rFonts w:cs="Arial"/>
          <w:szCs w:val="24"/>
        </w:rPr>
        <w:t xml:space="preserve"> term</w:t>
      </w:r>
      <w:r>
        <w:rPr>
          <w:rFonts w:cs="Arial"/>
          <w:szCs w:val="24"/>
        </w:rPr>
        <w:t>’</w:t>
      </w:r>
      <w:r w:rsidR="006331E9">
        <w:rPr>
          <w:rFonts w:cs="Arial"/>
          <w:szCs w:val="24"/>
        </w:rPr>
        <w:t>s headcount</w:t>
      </w:r>
      <w:r w:rsidR="00B908DE">
        <w:rPr>
          <w:rFonts w:cs="Arial"/>
          <w:szCs w:val="24"/>
        </w:rPr>
        <w:t xml:space="preserve"> at 0.53 pence per hour.</w:t>
      </w:r>
      <w:r w:rsidR="00462DF1">
        <w:rPr>
          <w:rFonts w:cs="Arial"/>
          <w:szCs w:val="24"/>
        </w:rPr>
        <w:t xml:space="preserve"> Any underspend on EYPP is expected to be clawed back.</w:t>
      </w:r>
    </w:p>
    <w:p w:rsidR="00374AD2" w:rsidRDefault="00374AD2" w:rsidP="00374AD2">
      <w:pPr>
        <w:pStyle w:val="ListParagraph"/>
      </w:pPr>
    </w:p>
    <w:p w:rsidR="00374AD2" w:rsidRDefault="00374AD2" w:rsidP="00EC2DB9">
      <w:pPr>
        <w:pStyle w:val="Header"/>
        <w:numPr>
          <w:ilvl w:val="1"/>
          <w:numId w:val="2"/>
        </w:numPr>
        <w:tabs>
          <w:tab w:val="clear" w:pos="4153"/>
          <w:tab w:val="clear" w:pos="8306"/>
        </w:tabs>
        <w:ind w:hanging="720"/>
      </w:pPr>
      <w:r>
        <w:t>The EFA does not take account of transfers between DSG blocks at a local level. These transfers require adjustment year-on-year. For 2016/17 the transfer to the Early Years block is £68k, the same as in 2015/16.</w:t>
      </w:r>
    </w:p>
    <w:p w:rsidR="00904A8D" w:rsidRDefault="00904A8D">
      <w:pPr>
        <w:pStyle w:val="Header"/>
        <w:tabs>
          <w:tab w:val="clear" w:pos="4153"/>
          <w:tab w:val="clear" w:pos="8306"/>
        </w:tabs>
      </w:pPr>
    </w:p>
    <w:p w:rsidR="00904A8D" w:rsidRDefault="008C19FB">
      <w:pPr>
        <w:pStyle w:val="Header"/>
        <w:numPr>
          <w:ilvl w:val="0"/>
          <w:numId w:val="2"/>
        </w:numPr>
        <w:tabs>
          <w:tab w:val="clear" w:pos="4153"/>
          <w:tab w:val="clear" w:pos="8306"/>
        </w:tabs>
        <w:ind w:hanging="720"/>
        <w:rPr>
          <w:rFonts w:cs="Arial"/>
          <w:b/>
          <w:bCs/>
          <w:sz w:val="28"/>
        </w:rPr>
      </w:pPr>
      <w:r>
        <w:rPr>
          <w:rFonts w:cs="Arial"/>
          <w:b/>
          <w:bCs/>
          <w:sz w:val="28"/>
        </w:rPr>
        <w:t>Early Years</w:t>
      </w:r>
      <w:r w:rsidR="00663BD2">
        <w:rPr>
          <w:rFonts w:cs="Arial"/>
          <w:b/>
          <w:bCs/>
          <w:sz w:val="28"/>
        </w:rPr>
        <w:t xml:space="preserve"> Funding Formula Factors</w:t>
      </w:r>
    </w:p>
    <w:p w:rsidR="00904A8D" w:rsidRDefault="00904A8D">
      <w:pPr>
        <w:rPr>
          <w:rFonts w:ascii="Arial" w:hAnsi="Arial" w:cs="Arial"/>
        </w:rPr>
      </w:pPr>
    </w:p>
    <w:p w:rsidR="00171895" w:rsidRPr="00E376A6" w:rsidRDefault="00192B91" w:rsidP="00171895">
      <w:pPr>
        <w:numPr>
          <w:ilvl w:val="0"/>
          <w:numId w:val="8"/>
        </w:numPr>
        <w:tabs>
          <w:tab w:val="clear" w:pos="927"/>
          <w:tab w:val="num" w:pos="720"/>
        </w:tabs>
        <w:ind w:left="720" w:hanging="720"/>
        <w:rPr>
          <w:rFonts w:ascii="Arial" w:hAnsi="Arial"/>
          <w:szCs w:val="20"/>
        </w:rPr>
      </w:pPr>
      <w:r w:rsidRPr="00E376A6">
        <w:rPr>
          <w:rFonts w:ascii="Arial" w:hAnsi="Arial"/>
          <w:szCs w:val="20"/>
        </w:rPr>
        <w:t>The table below shows the base rates used in the formula.</w:t>
      </w:r>
    </w:p>
    <w:tbl>
      <w:tblPr>
        <w:tblW w:w="85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7"/>
        <w:gridCol w:w="1435"/>
        <w:gridCol w:w="1435"/>
      </w:tblGrid>
      <w:tr w:rsidR="00E61A46" w:rsidRPr="00A74219" w:rsidTr="00E61A46">
        <w:tc>
          <w:tcPr>
            <w:tcW w:w="5687" w:type="dxa"/>
            <w:shd w:val="clear" w:color="auto" w:fill="C0C0C0"/>
          </w:tcPr>
          <w:p w:rsidR="00E61A46" w:rsidRPr="00EA2E68" w:rsidRDefault="00E61A46" w:rsidP="0011007A">
            <w:pPr>
              <w:rPr>
                <w:rFonts w:ascii="Arial" w:hAnsi="Arial"/>
                <w:b/>
                <w:szCs w:val="20"/>
              </w:rPr>
            </w:pPr>
          </w:p>
          <w:p w:rsidR="00E61A46" w:rsidRPr="00EA2E68" w:rsidRDefault="00E61A46" w:rsidP="0011007A">
            <w:pPr>
              <w:rPr>
                <w:rFonts w:ascii="Arial" w:hAnsi="Arial"/>
                <w:b/>
                <w:szCs w:val="20"/>
              </w:rPr>
            </w:pPr>
            <w:r w:rsidRPr="00EA2E68">
              <w:rPr>
                <w:rFonts w:ascii="Arial" w:hAnsi="Arial"/>
                <w:b/>
                <w:szCs w:val="20"/>
              </w:rPr>
              <w:t>Description</w:t>
            </w:r>
          </w:p>
        </w:tc>
        <w:tc>
          <w:tcPr>
            <w:tcW w:w="0" w:type="auto"/>
            <w:shd w:val="clear" w:color="auto" w:fill="C0C0C0"/>
          </w:tcPr>
          <w:p w:rsidR="00E61A46" w:rsidRPr="00A74219" w:rsidRDefault="00E61A46" w:rsidP="00A74219">
            <w:pPr>
              <w:jc w:val="center"/>
              <w:rPr>
                <w:rFonts w:ascii="Arial" w:hAnsi="Arial"/>
                <w:b/>
                <w:szCs w:val="20"/>
              </w:rPr>
            </w:pPr>
            <w:r>
              <w:rPr>
                <w:rFonts w:ascii="Arial" w:hAnsi="Arial"/>
                <w:b/>
                <w:szCs w:val="20"/>
              </w:rPr>
              <w:t>2016/17</w:t>
            </w:r>
            <w:r w:rsidRPr="00A74219">
              <w:rPr>
                <w:rFonts w:ascii="Arial" w:hAnsi="Arial"/>
                <w:b/>
                <w:szCs w:val="20"/>
              </w:rPr>
              <w:t xml:space="preserve"> Rate</w:t>
            </w:r>
          </w:p>
          <w:p w:rsidR="00E61A46" w:rsidRPr="00A74219" w:rsidRDefault="00E61A46" w:rsidP="00A74219">
            <w:pPr>
              <w:jc w:val="center"/>
              <w:rPr>
                <w:rFonts w:ascii="Arial" w:hAnsi="Arial"/>
                <w:b/>
                <w:szCs w:val="20"/>
              </w:rPr>
            </w:pPr>
            <w:r w:rsidRPr="00A74219">
              <w:rPr>
                <w:rFonts w:ascii="Arial" w:hAnsi="Arial"/>
                <w:b/>
                <w:szCs w:val="20"/>
              </w:rPr>
              <w:t>£</w:t>
            </w:r>
          </w:p>
        </w:tc>
        <w:tc>
          <w:tcPr>
            <w:tcW w:w="0" w:type="auto"/>
            <w:shd w:val="clear" w:color="auto" w:fill="C0C0C0"/>
          </w:tcPr>
          <w:p w:rsidR="00E61A46" w:rsidRPr="00A74219" w:rsidRDefault="00E61A46" w:rsidP="00E61A46">
            <w:pPr>
              <w:jc w:val="center"/>
              <w:rPr>
                <w:rFonts w:ascii="Arial" w:hAnsi="Arial"/>
                <w:b/>
                <w:szCs w:val="20"/>
              </w:rPr>
            </w:pPr>
            <w:r>
              <w:rPr>
                <w:rFonts w:ascii="Arial" w:hAnsi="Arial"/>
                <w:b/>
                <w:szCs w:val="20"/>
              </w:rPr>
              <w:t>2015/16</w:t>
            </w:r>
            <w:r w:rsidRPr="00A74219">
              <w:rPr>
                <w:rFonts w:ascii="Arial" w:hAnsi="Arial"/>
                <w:b/>
                <w:szCs w:val="20"/>
              </w:rPr>
              <w:t xml:space="preserve"> Rate</w:t>
            </w:r>
          </w:p>
          <w:p w:rsidR="00E61A46" w:rsidRPr="00A74219" w:rsidRDefault="00E61A46" w:rsidP="00E61A46">
            <w:pPr>
              <w:jc w:val="center"/>
              <w:rPr>
                <w:rFonts w:ascii="Arial" w:hAnsi="Arial"/>
                <w:b/>
                <w:szCs w:val="20"/>
              </w:rPr>
            </w:pPr>
            <w:r w:rsidRPr="00A74219">
              <w:rPr>
                <w:rFonts w:ascii="Arial" w:hAnsi="Arial"/>
                <w:b/>
                <w:szCs w:val="20"/>
              </w:rPr>
              <w:t>£</w:t>
            </w:r>
          </w:p>
        </w:tc>
      </w:tr>
      <w:tr w:rsidR="00E61A46" w:rsidRPr="00A74219" w:rsidTr="00E61A46">
        <w:tc>
          <w:tcPr>
            <w:tcW w:w="5687" w:type="dxa"/>
            <w:shd w:val="clear" w:color="auto" w:fill="auto"/>
          </w:tcPr>
          <w:p w:rsidR="00E61A46" w:rsidRPr="00A74219" w:rsidRDefault="00E61A46" w:rsidP="0011007A">
            <w:pPr>
              <w:rPr>
                <w:rFonts w:ascii="Arial" w:hAnsi="Arial"/>
                <w:szCs w:val="20"/>
              </w:rPr>
            </w:pPr>
            <w:r w:rsidRPr="00A74219">
              <w:rPr>
                <w:rFonts w:ascii="Arial" w:hAnsi="Arial"/>
                <w:szCs w:val="20"/>
              </w:rPr>
              <w:t>Schools – Independent</w:t>
            </w:r>
          </w:p>
        </w:tc>
        <w:tc>
          <w:tcPr>
            <w:tcW w:w="0" w:type="auto"/>
            <w:shd w:val="clear" w:color="auto" w:fill="auto"/>
          </w:tcPr>
          <w:p w:rsidR="00E61A46" w:rsidRPr="00E376A6" w:rsidRDefault="00D61869" w:rsidP="00A74219">
            <w:pPr>
              <w:jc w:val="center"/>
              <w:rPr>
                <w:rFonts w:ascii="Arial" w:hAnsi="Arial"/>
                <w:szCs w:val="20"/>
              </w:rPr>
            </w:pPr>
            <w:r>
              <w:rPr>
                <w:rFonts w:ascii="Arial" w:hAnsi="Arial"/>
                <w:szCs w:val="20"/>
              </w:rPr>
              <w:t>3.71</w:t>
            </w:r>
          </w:p>
        </w:tc>
        <w:tc>
          <w:tcPr>
            <w:tcW w:w="0" w:type="auto"/>
          </w:tcPr>
          <w:p w:rsidR="00E61A46" w:rsidRPr="00E376A6" w:rsidRDefault="00E61A46" w:rsidP="00E61A46">
            <w:pPr>
              <w:jc w:val="center"/>
              <w:rPr>
                <w:rFonts w:ascii="Arial" w:hAnsi="Arial"/>
                <w:szCs w:val="20"/>
              </w:rPr>
            </w:pPr>
            <w:r w:rsidRPr="00E376A6">
              <w:rPr>
                <w:rFonts w:ascii="Arial" w:hAnsi="Arial"/>
                <w:szCs w:val="20"/>
              </w:rPr>
              <w:t>3.71</w:t>
            </w:r>
          </w:p>
        </w:tc>
      </w:tr>
      <w:tr w:rsidR="00E61A46" w:rsidRPr="00A74219" w:rsidTr="00E61A46">
        <w:tc>
          <w:tcPr>
            <w:tcW w:w="5687" w:type="dxa"/>
            <w:shd w:val="clear" w:color="auto" w:fill="auto"/>
          </w:tcPr>
          <w:p w:rsidR="00E61A46" w:rsidRPr="00A74219" w:rsidRDefault="00E61A46" w:rsidP="0011007A">
            <w:pPr>
              <w:rPr>
                <w:rFonts w:ascii="Arial" w:hAnsi="Arial"/>
                <w:szCs w:val="20"/>
              </w:rPr>
            </w:pPr>
            <w:r w:rsidRPr="00A74219">
              <w:rPr>
                <w:rFonts w:ascii="Arial" w:hAnsi="Arial"/>
                <w:szCs w:val="20"/>
              </w:rPr>
              <w:t>Full Day Care</w:t>
            </w:r>
          </w:p>
        </w:tc>
        <w:tc>
          <w:tcPr>
            <w:tcW w:w="0" w:type="auto"/>
            <w:shd w:val="clear" w:color="auto" w:fill="auto"/>
          </w:tcPr>
          <w:p w:rsidR="00E61A46" w:rsidRPr="00E376A6" w:rsidRDefault="00D61869" w:rsidP="00A74219">
            <w:pPr>
              <w:jc w:val="center"/>
              <w:rPr>
                <w:rFonts w:ascii="Arial" w:hAnsi="Arial"/>
                <w:szCs w:val="20"/>
              </w:rPr>
            </w:pPr>
            <w:r>
              <w:rPr>
                <w:rFonts w:ascii="Arial" w:hAnsi="Arial"/>
                <w:szCs w:val="20"/>
              </w:rPr>
              <w:t>3.97</w:t>
            </w:r>
          </w:p>
        </w:tc>
        <w:tc>
          <w:tcPr>
            <w:tcW w:w="0" w:type="auto"/>
          </w:tcPr>
          <w:p w:rsidR="00E61A46" w:rsidRPr="00E376A6" w:rsidRDefault="00E61A46" w:rsidP="00E61A46">
            <w:pPr>
              <w:jc w:val="center"/>
              <w:rPr>
                <w:rFonts w:ascii="Arial" w:hAnsi="Arial"/>
                <w:szCs w:val="20"/>
              </w:rPr>
            </w:pPr>
            <w:r w:rsidRPr="00E376A6">
              <w:rPr>
                <w:rFonts w:ascii="Arial" w:hAnsi="Arial"/>
                <w:szCs w:val="20"/>
              </w:rPr>
              <w:t>3.</w:t>
            </w:r>
            <w:r>
              <w:rPr>
                <w:rFonts w:ascii="Arial" w:hAnsi="Arial"/>
                <w:szCs w:val="20"/>
              </w:rPr>
              <w:t>97</w:t>
            </w:r>
          </w:p>
        </w:tc>
      </w:tr>
      <w:tr w:rsidR="00E61A46" w:rsidRPr="00A74219" w:rsidTr="00E61A46">
        <w:tc>
          <w:tcPr>
            <w:tcW w:w="5687" w:type="dxa"/>
            <w:shd w:val="clear" w:color="auto" w:fill="auto"/>
          </w:tcPr>
          <w:p w:rsidR="00E61A46" w:rsidRPr="00A74219" w:rsidRDefault="00E61A46" w:rsidP="0011007A">
            <w:pPr>
              <w:rPr>
                <w:rFonts w:ascii="Arial" w:hAnsi="Arial"/>
                <w:szCs w:val="20"/>
              </w:rPr>
            </w:pPr>
            <w:r w:rsidRPr="00A74219">
              <w:rPr>
                <w:rFonts w:ascii="Arial" w:hAnsi="Arial"/>
                <w:szCs w:val="20"/>
              </w:rPr>
              <w:t>Stand alone 15 hour settings</w:t>
            </w:r>
          </w:p>
        </w:tc>
        <w:tc>
          <w:tcPr>
            <w:tcW w:w="0" w:type="auto"/>
            <w:shd w:val="clear" w:color="auto" w:fill="auto"/>
          </w:tcPr>
          <w:p w:rsidR="00E61A46" w:rsidRPr="00E376A6" w:rsidRDefault="00D61869" w:rsidP="00A74219">
            <w:pPr>
              <w:jc w:val="center"/>
              <w:rPr>
                <w:rFonts w:ascii="Arial" w:hAnsi="Arial"/>
                <w:szCs w:val="20"/>
              </w:rPr>
            </w:pPr>
            <w:r>
              <w:rPr>
                <w:rFonts w:ascii="Arial" w:hAnsi="Arial"/>
                <w:szCs w:val="20"/>
              </w:rPr>
              <w:t>4.17</w:t>
            </w:r>
          </w:p>
        </w:tc>
        <w:tc>
          <w:tcPr>
            <w:tcW w:w="0" w:type="auto"/>
          </w:tcPr>
          <w:p w:rsidR="00E61A46" w:rsidRPr="00E376A6" w:rsidRDefault="00E61A46" w:rsidP="00E61A46">
            <w:pPr>
              <w:jc w:val="center"/>
              <w:rPr>
                <w:rFonts w:ascii="Arial" w:hAnsi="Arial"/>
                <w:szCs w:val="20"/>
              </w:rPr>
            </w:pPr>
            <w:r w:rsidRPr="00E376A6">
              <w:rPr>
                <w:rFonts w:ascii="Arial" w:hAnsi="Arial"/>
                <w:szCs w:val="20"/>
              </w:rPr>
              <w:t>4.17</w:t>
            </w:r>
          </w:p>
        </w:tc>
      </w:tr>
      <w:tr w:rsidR="00E61A46" w:rsidRPr="00A74219" w:rsidTr="00E61A46">
        <w:tc>
          <w:tcPr>
            <w:tcW w:w="5687" w:type="dxa"/>
            <w:shd w:val="clear" w:color="auto" w:fill="auto"/>
          </w:tcPr>
          <w:p w:rsidR="00E61A46" w:rsidRPr="00A74219" w:rsidRDefault="00E61A46" w:rsidP="0011007A">
            <w:pPr>
              <w:rPr>
                <w:rFonts w:ascii="Arial" w:hAnsi="Arial"/>
                <w:szCs w:val="20"/>
              </w:rPr>
            </w:pPr>
            <w:r w:rsidRPr="00A74219">
              <w:rPr>
                <w:rFonts w:ascii="Arial" w:hAnsi="Arial"/>
                <w:szCs w:val="20"/>
              </w:rPr>
              <w:t>Mainstream Schools</w:t>
            </w:r>
          </w:p>
        </w:tc>
        <w:tc>
          <w:tcPr>
            <w:tcW w:w="0" w:type="auto"/>
            <w:shd w:val="clear" w:color="auto" w:fill="auto"/>
          </w:tcPr>
          <w:p w:rsidR="00E61A46" w:rsidRPr="00E376A6" w:rsidRDefault="00D61869" w:rsidP="00A74219">
            <w:pPr>
              <w:jc w:val="center"/>
              <w:rPr>
                <w:rFonts w:ascii="Arial" w:hAnsi="Arial"/>
                <w:szCs w:val="20"/>
              </w:rPr>
            </w:pPr>
            <w:r>
              <w:rPr>
                <w:rFonts w:ascii="Arial" w:hAnsi="Arial"/>
                <w:szCs w:val="20"/>
              </w:rPr>
              <w:t>3.68</w:t>
            </w:r>
          </w:p>
        </w:tc>
        <w:tc>
          <w:tcPr>
            <w:tcW w:w="0" w:type="auto"/>
          </w:tcPr>
          <w:p w:rsidR="00E61A46" w:rsidRPr="00E376A6" w:rsidRDefault="00E61A46" w:rsidP="00E61A46">
            <w:pPr>
              <w:jc w:val="center"/>
              <w:rPr>
                <w:rFonts w:ascii="Arial" w:hAnsi="Arial"/>
                <w:szCs w:val="20"/>
              </w:rPr>
            </w:pPr>
            <w:r w:rsidRPr="00E376A6">
              <w:rPr>
                <w:rFonts w:ascii="Arial" w:hAnsi="Arial"/>
                <w:szCs w:val="20"/>
              </w:rPr>
              <w:t>3.68</w:t>
            </w:r>
          </w:p>
        </w:tc>
      </w:tr>
      <w:tr w:rsidR="00E61A46" w:rsidRPr="00A74219" w:rsidTr="00E61A46">
        <w:tc>
          <w:tcPr>
            <w:tcW w:w="5687" w:type="dxa"/>
            <w:shd w:val="clear" w:color="auto" w:fill="auto"/>
          </w:tcPr>
          <w:p w:rsidR="00E61A46" w:rsidRPr="00A74219" w:rsidRDefault="00E61A46" w:rsidP="0011007A">
            <w:pPr>
              <w:rPr>
                <w:rFonts w:ascii="Arial" w:hAnsi="Arial"/>
                <w:szCs w:val="20"/>
              </w:rPr>
            </w:pPr>
            <w:r w:rsidRPr="00A74219">
              <w:rPr>
                <w:rFonts w:ascii="Arial" w:hAnsi="Arial"/>
                <w:szCs w:val="20"/>
              </w:rPr>
              <w:t xml:space="preserve">2 year olds </w:t>
            </w:r>
            <w:r>
              <w:rPr>
                <w:rFonts w:ascii="Arial" w:hAnsi="Arial"/>
                <w:szCs w:val="20"/>
              </w:rPr>
              <w:t xml:space="preserve">and </w:t>
            </w:r>
            <w:proofErr w:type="spellStart"/>
            <w:r w:rsidRPr="00A74219">
              <w:rPr>
                <w:rFonts w:ascii="Arial" w:hAnsi="Arial"/>
                <w:szCs w:val="20"/>
              </w:rPr>
              <w:t>Childminders</w:t>
            </w:r>
            <w:proofErr w:type="spellEnd"/>
          </w:p>
        </w:tc>
        <w:tc>
          <w:tcPr>
            <w:tcW w:w="0" w:type="auto"/>
            <w:shd w:val="clear" w:color="auto" w:fill="auto"/>
          </w:tcPr>
          <w:p w:rsidR="00E61A46" w:rsidRPr="00E376A6" w:rsidRDefault="00D61869" w:rsidP="00A74219">
            <w:pPr>
              <w:jc w:val="center"/>
              <w:rPr>
                <w:rFonts w:ascii="Arial" w:hAnsi="Arial"/>
                <w:szCs w:val="20"/>
              </w:rPr>
            </w:pPr>
            <w:r>
              <w:rPr>
                <w:rFonts w:ascii="Arial" w:hAnsi="Arial"/>
                <w:szCs w:val="20"/>
              </w:rPr>
              <w:t>5.4</w:t>
            </w:r>
          </w:p>
        </w:tc>
        <w:tc>
          <w:tcPr>
            <w:tcW w:w="0" w:type="auto"/>
          </w:tcPr>
          <w:p w:rsidR="00E61A46" w:rsidRPr="00E376A6" w:rsidRDefault="00E61A46" w:rsidP="00E61A46">
            <w:pPr>
              <w:jc w:val="center"/>
              <w:rPr>
                <w:rFonts w:ascii="Arial" w:hAnsi="Arial"/>
                <w:szCs w:val="20"/>
              </w:rPr>
            </w:pPr>
            <w:r w:rsidRPr="00E376A6">
              <w:rPr>
                <w:rFonts w:ascii="Arial" w:hAnsi="Arial"/>
                <w:szCs w:val="20"/>
              </w:rPr>
              <w:t>5.40</w:t>
            </w:r>
          </w:p>
        </w:tc>
      </w:tr>
    </w:tbl>
    <w:p w:rsidR="00F84E82" w:rsidRDefault="00F84E82" w:rsidP="0011007A">
      <w:pPr>
        <w:ind w:left="720"/>
        <w:rPr>
          <w:rFonts w:ascii="Arial" w:hAnsi="Arial"/>
          <w:szCs w:val="20"/>
        </w:rPr>
      </w:pPr>
    </w:p>
    <w:p w:rsidR="006E2A53" w:rsidRDefault="006E2A53" w:rsidP="0011007A">
      <w:pPr>
        <w:ind w:left="720"/>
        <w:rPr>
          <w:rFonts w:ascii="Arial" w:hAnsi="Arial"/>
          <w:szCs w:val="20"/>
        </w:rPr>
      </w:pPr>
    </w:p>
    <w:p w:rsidR="00B908DE" w:rsidRDefault="00B908DE" w:rsidP="0011007A">
      <w:pPr>
        <w:ind w:left="720"/>
        <w:rPr>
          <w:rFonts w:ascii="Arial" w:hAnsi="Arial"/>
          <w:szCs w:val="20"/>
        </w:rPr>
      </w:pPr>
    </w:p>
    <w:p w:rsidR="00B908DE" w:rsidRDefault="00B908DE" w:rsidP="0011007A">
      <w:pPr>
        <w:ind w:left="720"/>
        <w:rPr>
          <w:rFonts w:ascii="Arial" w:hAnsi="Arial"/>
          <w:szCs w:val="20"/>
        </w:rPr>
      </w:pPr>
    </w:p>
    <w:p w:rsidR="00B908DE" w:rsidRDefault="00B908DE" w:rsidP="0011007A">
      <w:pPr>
        <w:ind w:left="720"/>
        <w:rPr>
          <w:rFonts w:ascii="Arial" w:hAnsi="Arial"/>
          <w:szCs w:val="20"/>
        </w:rPr>
      </w:pPr>
    </w:p>
    <w:p w:rsidR="00192B91" w:rsidRDefault="004F1ADD" w:rsidP="00E227A1">
      <w:pPr>
        <w:numPr>
          <w:ilvl w:val="0"/>
          <w:numId w:val="8"/>
        </w:numPr>
        <w:tabs>
          <w:tab w:val="clear" w:pos="927"/>
          <w:tab w:val="num" w:pos="720"/>
        </w:tabs>
        <w:ind w:left="720" w:hanging="720"/>
        <w:rPr>
          <w:rFonts w:ascii="Arial" w:hAnsi="Arial"/>
          <w:szCs w:val="20"/>
        </w:rPr>
      </w:pPr>
      <w:r w:rsidRPr="0019374C">
        <w:rPr>
          <w:rFonts w:ascii="Arial" w:hAnsi="Arial"/>
          <w:szCs w:val="20"/>
        </w:rPr>
        <w:lastRenderedPageBreak/>
        <w:t>IDACI</w:t>
      </w:r>
      <w:r w:rsidR="00F978FC">
        <w:rPr>
          <w:rFonts w:ascii="Arial" w:hAnsi="Arial"/>
          <w:szCs w:val="20"/>
        </w:rPr>
        <w:t xml:space="preserve"> will continue to be used</w:t>
      </w:r>
      <w:r w:rsidRPr="0019374C">
        <w:rPr>
          <w:rFonts w:ascii="Arial" w:hAnsi="Arial"/>
          <w:szCs w:val="20"/>
        </w:rPr>
        <w:t xml:space="preserve"> </w:t>
      </w:r>
      <w:r w:rsidR="0019374C" w:rsidRPr="0019374C">
        <w:rPr>
          <w:rFonts w:ascii="Arial" w:hAnsi="Arial"/>
          <w:szCs w:val="20"/>
        </w:rPr>
        <w:t xml:space="preserve">as a measure of deprivation </w:t>
      </w:r>
      <w:r w:rsidR="00F978FC">
        <w:rPr>
          <w:rFonts w:ascii="Arial" w:hAnsi="Arial"/>
          <w:szCs w:val="20"/>
        </w:rPr>
        <w:t>for 2016</w:t>
      </w:r>
      <w:r w:rsidR="00CF2F26">
        <w:rPr>
          <w:rFonts w:ascii="Arial" w:hAnsi="Arial"/>
          <w:szCs w:val="20"/>
        </w:rPr>
        <w:t>/</w:t>
      </w:r>
      <w:r w:rsidR="00F978FC">
        <w:rPr>
          <w:rFonts w:ascii="Arial" w:hAnsi="Arial"/>
          <w:szCs w:val="20"/>
        </w:rPr>
        <w:t>17</w:t>
      </w:r>
      <w:r w:rsidR="00E376A6">
        <w:rPr>
          <w:rFonts w:ascii="Arial" w:hAnsi="Arial"/>
          <w:szCs w:val="20"/>
        </w:rPr>
        <w:t>. T</w:t>
      </w:r>
      <w:r w:rsidR="00192B91">
        <w:rPr>
          <w:rFonts w:ascii="Arial" w:hAnsi="Arial"/>
          <w:szCs w:val="20"/>
        </w:rPr>
        <w:t xml:space="preserve">he unit values </w:t>
      </w:r>
      <w:r w:rsidR="00C3413F">
        <w:rPr>
          <w:rFonts w:ascii="Arial" w:hAnsi="Arial"/>
          <w:szCs w:val="20"/>
        </w:rPr>
        <w:t>remain</w:t>
      </w:r>
      <w:r w:rsidR="00E376A6">
        <w:rPr>
          <w:rFonts w:ascii="Arial" w:hAnsi="Arial"/>
          <w:szCs w:val="20"/>
        </w:rPr>
        <w:t xml:space="preserve"> the same as last year </w:t>
      </w:r>
      <w:r w:rsidR="00192B91">
        <w:rPr>
          <w:rFonts w:ascii="Arial" w:hAnsi="Arial"/>
          <w:szCs w:val="20"/>
        </w:rPr>
        <w:t>as detailed in the table below.</w:t>
      </w:r>
    </w:p>
    <w:p w:rsidR="00171895" w:rsidRDefault="00171895" w:rsidP="00171895">
      <w:pPr>
        <w:ind w:left="720"/>
        <w:rPr>
          <w:rFonts w:ascii="Arial" w:hAnsi="Arial"/>
          <w:szCs w:val="20"/>
        </w:rPr>
      </w:pPr>
    </w:p>
    <w:tbl>
      <w:tblPr>
        <w:tblW w:w="85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1417"/>
        <w:gridCol w:w="1417"/>
      </w:tblGrid>
      <w:tr w:rsidR="00E61A46" w:rsidRPr="00A74219" w:rsidTr="00E61A46">
        <w:tc>
          <w:tcPr>
            <w:tcW w:w="5688" w:type="dxa"/>
            <w:shd w:val="clear" w:color="auto" w:fill="C0C0C0"/>
          </w:tcPr>
          <w:p w:rsidR="00E61A46" w:rsidRPr="00EA2E68" w:rsidRDefault="00E61A46" w:rsidP="00192B91">
            <w:pPr>
              <w:rPr>
                <w:rFonts w:ascii="Arial" w:hAnsi="Arial"/>
                <w:b/>
                <w:szCs w:val="20"/>
              </w:rPr>
            </w:pPr>
          </w:p>
          <w:p w:rsidR="00E61A46" w:rsidRPr="00EA2E68" w:rsidRDefault="00E61A46" w:rsidP="00192B91">
            <w:pPr>
              <w:rPr>
                <w:rFonts w:ascii="Arial" w:hAnsi="Arial"/>
                <w:b/>
                <w:szCs w:val="20"/>
              </w:rPr>
            </w:pPr>
            <w:r w:rsidRPr="00EA2E68">
              <w:rPr>
                <w:rFonts w:ascii="Arial" w:hAnsi="Arial"/>
                <w:b/>
                <w:szCs w:val="20"/>
              </w:rPr>
              <w:t>Description</w:t>
            </w:r>
          </w:p>
        </w:tc>
        <w:tc>
          <w:tcPr>
            <w:tcW w:w="0" w:type="auto"/>
            <w:shd w:val="clear" w:color="auto" w:fill="C0C0C0"/>
          </w:tcPr>
          <w:p w:rsidR="00E61A46" w:rsidRPr="00A74219" w:rsidRDefault="00E61A46" w:rsidP="00192B91">
            <w:pPr>
              <w:jc w:val="center"/>
              <w:rPr>
                <w:rFonts w:ascii="Arial" w:hAnsi="Arial"/>
                <w:b/>
                <w:szCs w:val="20"/>
              </w:rPr>
            </w:pPr>
            <w:r>
              <w:rPr>
                <w:rFonts w:ascii="Arial" w:hAnsi="Arial"/>
                <w:b/>
                <w:szCs w:val="20"/>
              </w:rPr>
              <w:t>2016/17</w:t>
            </w:r>
            <w:r w:rsidRPr="00A74219">
              <w:rPr>
                <w:rFonts w:ascii="Arial" w:hAnsi="Arial"/>
                <w:b/>
                <w:szCs w:val="20"/>
              </w:rPr>
              <w:t xml:space="preserve"> Rate</w:t>
            </w:r>
          </w:p>
          <w:p w:rsidR="00E61A46" w:rsidRPr="00A74219" w:rsidRDefault="00E61A46" w:rsidP="00192B91">
            <w:pPr>
              <w:jc w:val="center"/>
              <w:rPr>
                <w:rFonts w:ascii="Arial" w:hAnsi="Arial"/>
                <w:b/>
                <w:szCs w:val="20"/>
              </w:rPr>
            </w:pPr>
            <w:r w:rsidRPr="00A74219">
              <w:rPr>
                <w:rFonts w:ascii="Arial" w:hAnsi="Arial"/>
                <w:b/>
                <w:szCs w:val="20"/>
              </w:rPr>
              <w:t>£</w:t>
            </w:r>
          </w:p>
        </w:tc>
        <w:tc>
          <w:tcPr>
            <w:tcW w:w="0" w:type="auto"/>
            <w:shd w:val="clear" w:color="auto" w:fill="C0C0C0"/>
          </w:tcPr>
          <w:p w:rsidR="00E61A46" w:rsidRPr="00A74219" w:rsidRDefault="00E61A46" w:rsidP="00E61A46">
            <w:pPr>
              <w:jc w:val="center"/>
              <w:rPr>
                <w:rFonts w:ascii="Arial" w:hAnsi="Arial"/>
                <w:b/>
                <w:szCs w:val="20"/>
              </w:rPr>
            </w:pPr>
            <w:r>
              <w:rPr>
                <w:rFonts w:ascii="Arial" w:hAnsi="Arial"/>
                <w:b/>
                <w:szCs w:val="20"/>
              </w:rPr>
              <w:t>2015/16</w:t>
            </w:r>
            <w:r w:rsidRPr="00A74219">
              <w:rPr>
                <w:rFonts w:ascii="Arial" w:hAnsi="Arial"/>
                <w:b/>
                <w:szCs w:val="20"/>
              </w:rPr>
              <w:t xml:space="preserve"> Rate</w:t>
            </w:r>
          </w:p>
          <w:p w:rsidR="00E61A46" w:rsidRPr="00A74219" w:rsidRDefault="00E61A46" w:rsidP="00E61A46">
            <w:pPr>
              <w:jc w:val="center"/>
              <w:rPr>
                <w:rFonts w:ascii="Arial" w:hAnsi="Arial"/>
                <w:b/>
                <w:szCs w:val="20"/>
              </w:rPr>
            </w:pPr>
            <w:r w:rsidRPr="00A74219">
              <w:rPr>
                <w:rFonts w:ascii="Arial" w:hAnsi="Arial"/>
                <w:b/>
                <w:szCs w:val="20"/>
              </w:rPr>
              <w:t>£</w:t>
            </w:r>
          </w:p>
        </w:tc>
      </w:tr>
      <w:tr w:rsidR="00E61A46" w:rsidRPr="00A74219" w:rsidTr="00E61A46">
        <w:tc>
          <w:tcPr>
            <w:tcW w:w="5688" w:type="dxa"/>
            <w:shd w:val="clear" w:color="auto" w:fill="auto"/>
          </w:tcPr>
          <w:p w:rsidR="00E61A46" w:rsidRPr="00A74219" w:rsidRDefault="00E61A46" w:rsidP="00192B91">
            <w:pPr>
              <w:rPr>
                <w:rFonts w:ascii="Arial" w:hAnsi="Arial"/>
                <w:szCs w:val="20"/>
              </w:rPr>
            </w:pPr>
            <w:r>
              <w:rPr>
                <w:rFonts w:ascii="Arial" w:hAnsi="Arial"/>
                <w:szCs w:val="20"/>
              </w:rPr>
              <w:t>Band 1</w:t>
            </w:r>
          </w:p>
        </w:tc>
        <w:tc>
          <w:tcPr>
            <w:tcW w:w="0" w:type="auto"/>
            <w:shd w:val="clear" w:color="auto" w:fill="auto"/>
          </w:tcPr>
          <w:p w:rsidR="00E61A46" w:rsidRPr="00A74219" w:rsidRDefault="00E61A46" w:rsidP="00192B91">
            <w:pPr>
              <w:jc w:val="center"/>
              <w:rPr>
                <w:rFonts w:ascii="Arial" w:hAnsi="Arial"/>
                <w:szCs w:val="20"/>
              </w:rPr>
            </w:pPr>
            <w:r>
              <w:rPr>
                <w:rFonts w:ascii="Arial" w:hAnsi="Arial"/>
                <w:szCs w:val="20"/>
              </w:rPr>
              <w:t>0.15</w:t>
            </w:r>
          </w:p>
        </w:tc>
        <w:tc>
          <w:tcPr>
            <w:tcW w:w="0" w:type="auto"/>
          </w:tcPr>
          <w:p w:rsidR="00E61A46" w:rsidRPr="00A74219" w:rsidRDefault="00E61A46" w:rsidP="00E61A46">
            <w:pPr>
              <w:jc w:val="center"/>
              <w:rPr>
                <w:rFonts w:ascii="Arial" w:hAnsi="Arial"/>
                <w:szCs w:val="20"/>
              </w:rPr>
            </w:pPr>
            <w:r>
              <w:rPr>
                <w:rFonts w:ascii="Arial" w:hAnsi="Arial"/>
                <w:szCs w:val="20"/>
              </w:rPr>
              <w:t>0.15</w:t>
            </w:r>
          </w:p>
        </w:tc>
      </w:tr>
      <w:tr w:rsidR="00E61A46" w:rsidRPr="00A74219" w:rsidTr="00E61A46">
        <w:tc>
          <w:tcPr>
            <w:tcW w:w="5688" w:type="dxa"/>
            <w:shd w:val="clear" w:color="auto" w:fill="auto"/>
          </w:tcPr>
          <w:p w:rsidR="00E61A46" w:rsidRPr="00A74219" w:rsidRDefault="00E61A46" w:rsidP="00192B91">
            <w:pPr>
              <w:rPr>
                <w:rFonts w:ascii="Arial" w:hAnsi="Arial"/>
                <w:szCs w:val="20"/>
              </w:rPr>
            </w:pPr>
            <w:r>
              <w:rPr>
                <w:rFonts w:ascii="Arial" w:hAnsi="Arial"/>
                <w:szCs w:val="20"/>
              </w:rPr>
              <w:t>Band 2</w:t>
            </w:r>
          </w:p>
        </w:tc>
        <w:tc>
          <w:tcPr>
            <w:tcW w:w="0" w:type="auto"/>
            <w:shd w:val="clear" w:color="auto" w:fill="auto"/>
          </w:tcPr>
          <w:p w:rsidR="00E61A46" w:rsidRPr="00A74219" w:rsidRDefault="00E61A46" w:rsidP="00192B91">
            <w:pPr>
              <w:jc w:val="center"/>
              <w:rPr>
                <w:rFonts w:ascii="Arial" w:hAnsi="Arial"/>
                <w:szCs w:val="20"/>
              </w:rPr>
            </w:pPr>
            <w:r>
              <w:rPr>
                <w:rFonts w:ascii="Arial" w:hAnsi="Arial"/>
                <w:szCs w:val="20"/>
              </w:rPr>
              <w:t>0.20</w:t>
            </w:r>
          </w:p>
        </w:tc>
        <w:tc>
          <w:tcPr>
            <w:tcW w:w="0" w:type="auto"/>
          </w:tcPr>
          <w:p w:rsidR="00E61A46" w:rsidRPr="00A74219" w:rsidRDefault="00E61A46" w:rsidP="00E61A46">
            <w:pPr>
              <w:jc w:val="center"/>
              <w:rPr>
                <w:rFonts w:ascii="Arial" w:hAnsi="Arial"/>
                <w:szCs w:val="20"/>
              </w:rPr>
            </w:pPr>
            <w:r>
              <w:rPr>
                <w:rFonts w:ascii="Arial" w:hAnsi="Arial"/>
                <w:szCs w:val="20"/>
              </w:rPr>
              <w:t>0.20</w:t>
            </w:r>
          </w:p>
        </w:tc>
      </w:tr>
      <w:tr w:rsidR="00E61A46" w:rsidRPr="00A74219" w:rsidTr="00E61A46">
        <w:tc>
          <w:tcPr>
            <w:tcW w:w="5688" w:type="dxa"/>
            <w:shd w:val="clear" w:color="auto" w:fill="auto"/>
          </w:tcPr>
          <w:p w:rsidR="00E61A46" w:rsidRPr="00A74219" w:rsidRDefault="00E61A46" w:rsidP="00192B91">
            <w:pPr>
              <w:rPr>
                <w:rFonts w:ascii="Arial" w:hAnsi="Arial"/>
                <w:szCs w:val="20"/>
              </w:rPr>
            </w:pPr>
            <w:r>
              <w:rPr>
                <w:rFonts w:ascii="Arial" w:hAnsi="Arial"/>
                <w:szCs w:val="20"/>
              </w:rPr>
              <w:t>Band 3</w:t>
            </w:r>
          </w:p>
        </w:tc>
        <w:tc>
          <w:tcPr>
            <w:tcW w:w="0" w:type="auto"/>
            <w:shd w:val="clear" w:color="auto" w:fill="auto"/>
          </w:tcPr>
          <w:p w:rsidR="00E61A46" w:rsidRPr="00A74219" w:rsidRDefault="00E61A46" w:rsidP="00192B91">
            <w:pPr>
              <w:jc w:val="center"/>
              <w:rPr>
                <w:rFonts w:ascii="Arial" w:hAnsi="Arial"/>
                <w:szCs w:val="20"/>
              </w:rPr>
            </w:pPr>
            <w:r>
              <w:rPr>
                <w:rFonts w:ascii="Arial" w:hAnsi="Arial"/>
                <w:szCs w:val="20"/>
              </w:rPr>
              <w:t>0.25</w:t>
            </w:r>
          </w:p>
        </w:tc>
        <w:tc>
          <w:tcPr>
            <w:tcW w:w="0" w:type="auto"/>
          </w:tcPr>
          <w:p w:rsidR="00E61A46" w:rsidRPr="00A74219" w:rsidRDefault="00E61A46" w:rsidP="00E61A46">
            <w:pPr>
              <w:jc w:val="center"/>
              <w:rPr>
                <w:rFonts w:ascii="Arial" w:hAnsi="Arial"/>
                <w:szCs w:val="20"/>
              </w:rPr>
            </w:pPr>
            <w:r>
              <w:rPr>
                <w:rFonts w:ascii="Arial" w:hAnsi="Arial"/>
                <w:szCs w:val="20"/>
              </w:rPr>
              <w:t>0.25</w:t>
            </w:r>
          </w:p>
        </w:tc>
      </w:tr>
      <w:tr w:rsidR="00E61A46" w:rsidRPr="00A74219" w:rsidTr="00E61A46">
        <w:tc>
          <w:tcPr>
            <w:tcW w:w="5688" w:type="dxa"/>
            <w:shd w:val="clear" w:color="auto" w:fill="auto"/>
          </w:tcPr>
          <w:p w:rsidR="00E61A46" w:rsidRPr="00A74219" w:rsidRDefault="00E61A46" w:rsidP="00192B91">
            <w:pPr>
              <w:rPr>
                <w:rFonts w:ascii="Arial" w:hAnsi="Arial"/>
                <w:szCs w:val="20"/>
              </w:rPr>
            </w:pPr>
            <w:r>
              <w:rPr>
                <w:rFonts w:ascii="Arial" w:hAnsi="Arial"/>
                <w:szCs w:val="20"/>
              </w:rPr>
              <w:t>Band 4</w:t>
            </w:r>
          </w:p>
        </w:tc>
        <w:tc>
          <w:tcPr>
            <w:tcW w:w="0" w:type="auto"/>
            <w:shd w:val="clear" w:color="auto" w:fill="auto"/>
          </w:tcPr>
          <w:p w:rsidR="00E61A46" w:rsidRPr="00A74219" w:rsidRDefault="00E61A46" w:rsidP="00192B91">
            <w:pPr>
              <w:jc w:val="center"/>
              <w:rPr>
                <w:rFonts w:ascii="Arial" w:hAnsi="Arial"/>
                <w:szCs w:val="20"/>
              </w:rPr>
            </w:pPr>
            <w:r>
              <w:rPr>
                <w:rFonts w:ascii="Arial" w:hAnsi="Arial"/>
                <w:szCs w:val="20"/>
              </w:rPr>
              <w:t>0.30</w:t>
            </w:r>
          </w:p>
        </w:tc>
        <w:tc>
          <w:tcPr>
            <w:tcW w:w="0" w:type="auto"/>
          </w:tcPr>
          <w:p w:rsidR="00E61A46" w:rsidRPr="00A74219" w:rsidRDefault="00E61A46" w:rsidP="00E61A46">
            <w:pPr>
              <w:jc w:val="center"/>
              <w:rPr>
                <w:rFonts w:ascii="Arial" w:hAnsi="Arial"/>
                <w:szCs w:val="20"/>
              </w:rPr>
            </w:pPr>
            <w:r>
              <w:rPr>
                <w:rFonts w:ascii="Arial" w:hAnsi="Arial"/>
                <w:szCs w:val="20"/>
              </w:rPr>
              <w:t>0.30</w:t>
            </w:r>
          </w:p>
        </w:tc>
      </w:tr>
      <w:tr w:rsidR="00E61A46" w:rsidRPr="00A74219" w:rsidTr="00E61A46">
        <w:tc>
          <w:tcPr>
            <w:tcW w:w="5688" w:type="dxa"/>
            <w:shd w:val="clear" w:color="auto" w:fill="auto"/>
          </w:tcPr>
          <w:p w:rsidR="00E61A46" w:rsidRPr="00A74219" w:rsidRDefault="00E61A46" w:rsidP="00192B91">
            <w:pPr>
              <w:rPr>
                <w:rFonts w:ascii="Arial" w:hAnsi="Arial"/>
                <w:szCs w:val="20"/>
              </w:rPr>
            </w:pPr>
            <w:r>
              <w:rPr>
                <w:rFonts w:ascii="Arial" w:hAnsi="Arial"/>
                <w:szCs w:val="20"/>
              </w:rPr>
              <w:t>Band 5</w:t>
            </w:r>
          </w:p>
        </w:tc>
        <w:tc>
          <w:tcPr>
            <w:tcW w:w="0" w:type="auto"/>
            <w:shd w:val="clear" w:color="auto" w:fill="auto"/>
          </w:tcPr>
          <w:p w:rsidR="00E61A46" w:rsidRPr="00A74219" w:rsidRDefault="00E61A46" w:rsidP="00192B91">
            <w:pPr>
              <w:jc w:val="center"/>
              <w:rPr>
                <w:rFonts w:ascii="Arial" w:hAnsi="Arial"/>
                <w:szCs w:val="20"/>
              </w:rPr>
            </w:pPr>
            <w:r>
              <w:rPr>
                <w:rFonts w:ascii="Arial" w:hAnsi="Arial"/>
                <w:szCs w:val="20"/>
              </w:rPr>
              <w:t>0.35</w:t>
            </w:r>
          </w:p>
        </w:tc>
        <w:tc>
          <w:tcPr>
            <w:tcW w:w="0" w:type="auto"/>
          </w:tcPr>
          <w:p w:rsidR="00E61A46" w:rsidRPr="00A74219" w:rsidRDefault="00E61A46" w:rsidP="00E61A46">
            <w:pPr>
              <w:jc w:val="center"/>
              <w:rPr>
                <w:rFonts w:ascii="Arial" w:hAnsi="Arial"/>
                <w:szCs w:val="20"/>
              </w:rPr>
            </w:pPr>
            <w:r>
              <w:rPr>
                <w:rFonts w:ascii="Arial" w:hAnsi="Arial"/>
                <w:szCs w:val="20"/>
              </w:rPr>
              <w:t>0.35</w:t>
            </w:r>
          </w:p>
        </w:tc>
      </w:tr>
      <w:tr w:rsidR="00E61A46" w:rsidRPr="00A74219" w:rsidTr="00E61A46">
        <w:tc>
          <w:tcPr>
            <w:tcW w:w="5688" w:type="dxa"/>
            <w:shd w:val="clear" w:color="auto" w:fill="auto"/>
          </w:tcPr>
          <w:p w:rsidR="00E61A46" w:rsidRPr="00A74219" w:rsidRDefault="00E61A46" w:rsidP="00192B91">
            <w:pPr>
              <w:rPr>
                <w:rFonts w:ascii="Arial" w:hAnsi="Arial"/>
                <w:szCs w:val="20"/>
              </w:rPr>
            </w:pPr>
            <w:r>
              <w:rPr>
                <w:rFonts w:ascii="Arial" w:hAnsi="Arial"/>
                <w:szCs w:val="20"/>
              </w:rPr>
              <w:t>Band 6</w:t>
            </w:r>
            <w:bookmarkStart w:id="0" w:name="_GoBack"/>
            <w:bookmarkEnd w:id="0"/>
          </w:p>
        </w:tc>
        <w:tc>
          <w:tcPr>
            <w:tcW w:w="0" w:type="auto"/>
            <w:shd w:val="clear" w:color="auto" w:fill="auto"/>
          </w:tcPr>
          <w:p w:rsidR="00E61A46" w:rsidRPr="00A74219" w:rsidRDefault="00E61A46" w:rsidP="00192B91">
            <w:pPr>
              <w:jc w:val="center"/>
              <w:rPr>
                <w:rFonts w:ascii="Arial" w:hAnsi="Arial"/>
                <w:szCs w:val="20"/>
              </w:rPr>
            </w:pPr>
            <w:r>
              <w:rPr>
                <w:rFonts w:ascii="Arial" w:hAnsi="Arial"/>
                <w:szCs w:val="20"/>
              </w:rPr>
              <w:t>0.40</w:t>
            </w:r>
          </w:p>
        </w:tc>
        <w:tc>
          <w:tcPr>
            <w:tcW w:w="0" w:type="auto"/>
          </w:tcPr>
          <w:p w:rsidR="00E61A46" w:rsidRPr="00A74219" w:rsidRDefault="00E61A46" w:rsidP="00E61A46">
            <w:pPr>
              <w:jc w:val="center"/>
              <w:rPr>
                <w:rFonts w:ascii="Arial" w:hAnsi="Arial"/>
                <w:szCs w:val="20"/>
              </w:rPr>
            </w:pPr>
            <w:r>
              <w:rPr>
                <w:rFonts w:ascii="Arial" w:hAnsi="Arial"/>
                <w:szCs w:val="20"/>
              </w:rPr>
              <w:t>0.40</w:t>
            </w:r>
          </w:p>
        </w:tc>
      </w:tr>
    </w:tbl>
    <w:p w:rsidR="0019374C" w:rsidRPr="0019374C" w:rsidRDefault="0019374C" w:rsidP="0019374C">
      <w:pPr>
        <w:rPr>
          <w:rFonts w:ascii="Arial" w:hAnsi="Arial"/>
          <w:szCs w:val="20"/>
        </w:rPr>
      </w:pPr>
    </w:p>
    <w:p w:rsidR="000A21B0" w:rsidRPr="00F978FC" w:rsidRDefault="00F978FC" w:rsidP="00B908DE">
      <w:pPr>
        <w:numPr>
          <w:ilvl w:val="0"/>
          <w:numId w:val="8"/>
        </w:numPr>
        <w:tabs>
          <w:tab w:val="clear" w:pos="927"/>
          <w:tab w:val="num" w:pos="720"/>
        </w:tabs>
        <w:ind w:left="720" w:hanging="720"/>
        <w:rPr>
          <w:rFonts w:ascii="Arial" w:hAnsi="Arial"/>
          <w:szCs w:val="20"/>
        </w:rPr>
      </w:pPr>
      <w:r>
        <w:rPr>
          <w:rFonts w:ascii="Arial" w:hAnsi="Arial" w:cs="Arial"/>
        </w:rPr>
        <w:t>There is no notional SEN allocation given for children needing support prior to statement, so the SEN Support level with the EYSFF addresses this. Funding levels are:</w:t>
      </w:r>
    </w:p>
    <w:p w:rsidR="00F978FC" w:rsidRPr="00F978FC" w:rsidRDefault="00F978FC" w:rsidP="00F978FC">
      <w:pPr>
        <w:ind w:left="720"/>
        <w:rPr>
          <w:rFonts w:ascii="Arial" w:hAnsi="Arial"/>
          <w:szCs w:val="20"/>
        </w:rPr>
      </w:pPr>
    </w:p>
    <w:p w:rsidR="00F978FC" w:rsidRPr="00F978FC" w:rsidRDefault="00F978FC" w:rsidP="00F978FC">
      <w:pPr>
        <w:pStyle w:val="ListParagraph"/>
        <w:numPr>
          <w:ilvl w:val="0"/>
          <w:numId w:val="12"/>
        </w:numPr>
        <w:spacing w:after="200" w:line="276" w:lineRule="auto"/>
        <w:contextualSpacing/>
        <w:rPr>
          <w:rFonts w:ascii="Arial" w:hAnsi="Arial" w:cs="Arial"/>
        </w:rPr>
      </w:pPr>
      <w:r w:rsidRPr="00F978FC">
        <w:rPr>
          <w:rFonts w:ascii="Arial" w:hAnsi="Arial" w:cs="Arial"/>
        </w:rPr>
        <w:t>SEN Support Level 1a (local offer)</w:t>
      </w:r>
      <w:r w:rsidRPr="00F978FC">
        <w:rPr>
          <w:rFonts w:ascii="Arial" w:hAnsi="Arial" w:cs="Arial"/>
        </w:rPr>
        <w:tab/>
      </w:r>
      <w:r w:rsidRPr="00F978FC">
        <w:rPr>
          <w:rFonts w:ascii="Arial" w:hAnsi="Arial" w:cs="Arial"/>
        </w:rPr>
        <w:tab/>
        <w:t>£nil</w:t>
      </w:r>
    </w:p>
    <w:p w:rsidR="00F978FC" w:rsidRPr="00F978FC" w:rsidRDefault="00F978FC" w:rsidP="00F978FC">
      <w:pPr>
        <w:pStyle w:val="ListParagraph"/>
        <w:numPr>
          <w:ilvl w:val="0"/>
          <w:numId w:val="12"/>
        </w:numPr>
        <w:spacing w:after="200" w:line="276" w:lineRule="auto"/>
        <w:contextualSpacing/>
        <w:rPr>
          <w:rFonts w:ascii="Arial" w:hAnsi="Arial" w:cs="Arial"/>
        </w:rPr>
      </w:pPr>
      <w:r w:rsidRPr="00F978FC">
        <w:rPr>
          <w:rFonts w:ascii="Arial" w:hAnsi="Arial" w:cs="Arial"/>
        </w:rPr>
        <w:t xml:space="preserve">SEN Support Level 1b </w:t>
      </w:r>
      <w:r w:rsidRPr="00F978FC">
        <w:rPr>
          <w:rFonts w:ascii="Arial" w:hAnsi="Arial" w:cs="Arial"/>
        </w:rPr>
        <w:tab/>
      </w:r>
      <w:r w:rsidRPr="00F978FC">
        <w:rPr>
          <w:rFonts w:ascii="Arial" w:hAnsi="Arial" w:cs="Arial"/>
        </w:rPr>
        <w:tab/>
      </w:r>
      <w:r w:rsidRPr="00F978FC">
        <w:rPr>
          <w:rFonts w:ascii="Arial" w:hAnsi="Arial" w:cs="Arial"/>
        </w:rPr>
        <w:tab/>
      </w:r>
      <w:r w:rsidRPr="00F978FC">
        <w:rPr>
          <w:rFonts w:ascii="Arial" w:hAnsi="Arial" w:cs="Arial"/>
        </w:rPr>
        <w:tab/>
        <w:t>£2.50</w:t>
      </w:r>
    </w:p>
    <w:p w:rsidR="00F978FC" w:rsidRPr="00F978FC" w:rsidRDefault="00F978FC" w:rsidP="00F978FC">
      <w:pPr>
        <w:pStyle w:val="ListParagraph"/>
        <w:numPr>
          <w:ilvl w:val="0"/>
          <w:numId w:val="12"/>
        </w:numPr>
        <w:spacing w:after="200" w:line="276" w:lineRule="auto"/>
        <w:contextualSpacing/>
        <w:rPr>
          <w:rFonts w:ascii="Arial" w:hAnsi="Arial" w:cs="Arial"/>
        </w:rPr>
      </w:pPr>
      <w:r w:rsidRPr="00F978FC">
        <w:rPr>
          <w:rFonts w:ascii="Arial" w:hAnsi="Arial" w:cs="Arial"/>
        </w:rPr>
        <w:t>SEN Support Level 1c</w:t>
      </w:r>
      <w:r w:rsidRPr="00F978FC">
        <w:rPr>
          <w:rFonts w:ascii="Arial" w:hAnsi="Arial" w:cs="Arial"/>
        </w:rPr>
        <w:tab/>
      </w:r>
      <w:r w:rsidRPr="00F978FC">
        <w:rPr>
          <w:rFonts w:ascii="Arial" w:hAnsi="Arial" w:cs="Arial"/>
        </w:rPr>
        <w:tab/>
      </w:r>
      <w:r w:rsidRPr="00F978FC">
        <w:rPr>
          <w:rFonts w:ascii="Arial" w:hAnsi="Arial" w:cs="Arial"/>
        </w:rPr>
        <w:tab/>
      </w:r>
      <w:r w:rsidRPr="00F978FC">
        <w:rPr>
          <w:rFonts w:ascii="Arial" w:hAnsi="Arial" w:cs="Arial"/>
        </w:rPr>
        <w:tab/>
        <w:t>£5.26 + 1b</w:t>
      </w:r>
    </w:p>
    <w:p w:rsidR="00F978FC" w:rsidRPr="00F978FC" w:rsidRDefault="00F978FC" w:rsidP="00F978FC">
      <w:pPr>
        <w:pStyle w:val="ListParagraph"/>
        <w:numPr>
          <w:ilvl w:val="0"/>
          <w:numId w:val="12"/>
        </w:numPr>
        <w:spacing w:after="200" w:line="276" w:lineRule="auto"/>
        <w:contextualSpacing/>
        <w:rPr>
          <w:rFonts w:ascii="Arial" w:hAnsi="Arial" w:cs="Arial"/>
        </w:rPr>
      </w:pPr>
      <w:r w:rsidRPr="00F978FC">
        <w:rPr>
          <w:rFonts w:ascii="Arial" w:hAnsi="Arial" w:cs="Arial"/>
        </w:rPr>
        <w:t>EHCP via HNB</w:t>
      </w:r>
      <w:r w:rsidRPr="00F978FC">
        <w:rPr>
          <w:rFonts w:ascii="Arial" w:hAnsi="Arial" w:cs="Arial"/>
        </w:rPr>
        <w:tab/>
      </w:r>
      <w:r w:rsidRPr="00F978FC">
        <w:rPr>
          <w:rFonts w:ascii="Arial" w:hAnsi="Arial" w:cs="Arial"/>
        </w:rPr>
        <w:tab/>
      </w:r>
      <w:r w:rsidRPr="00F978FC">
        <w:rPr>
          <w:rFonts w:ascii="Arial" w:hAnsi="Arial" w:cs="Arial"/>
        </w:rPr>
        <w:tab/>
      </w:r>
      <w:r w:rsidRPr="00F978FC">
        <w:rPr>
          <w:rFonts w:ascii="Arial" w:hAnsi="Arial" w:cs="Arial"/>
        </w:rPr>
        <w:tab/>
      </w:r>
      <w:r w:rsidRPr="00F978FC">
        <w:rPr>
          <w:rFonts w:ascii="Arial" w:hAnsi="Arial" w:cs="Arial"/>
        </w:rPr>
        <w:tab/>
        <w:t>As per Merton’s EY banding</w:t>
      </w:r>
    </w:p>
    <w:p w:rsidR="00F978FC" w:rsidRPr="00993A59" w:rsidRDefault="00F978FC" w:rsidP="00B908DE">
      <w:pPr>
        <w:numPr>
          <w:ilvl w:val="0"/>
          <w:numId w:val="8"/>
        </w:numPr>
        <w:tabs>
          <w:tab w:val="clear" w:pos="927"/>
          <w:tab w:val="num" w:pos="720"/>
        </w:tabs>
        <w:ind w:left="720" w:hanging="720"/>
        <w:rPr>
          <w:rFonts w:ascii="Arial" w:hAnsi="Arial"/>
          <w:szCs w:val="20"/>
        </w:rPr>
      </w:pPr>
      <w:r>
        <w:rPr>
          <w:rFonts w:ascii="Arial" w:hAnsi="Arial" w:cs="Arial"/>
        </w:rPr>
        <w:t>SEN funding levels are allocated via the EYSFF. This ceases when the EHCP is issued and funding is allocated in accordance with the EHCP EY banding through the High Needs Block. EHCP are funded on a pro-rata basis and based on actual hours and number of weeks of attendance. This will ensure SEN funding for children is seamless and on a continuum as they progress through each stage.</w:t>
      </w:r>
    </w:p>
    <w:p w:rsidR="00904A8D" w:rsidRDefault="00904A8D">
      <w:pPr>
        <w:pStyle w:val="Header"/>
        <w:tabs>
          <w:tab w:val="clear" w:pos="4153"/>
          <w:tab w:val="clear" w:pos="8306"/>
        </w:tabs>
        <w:ind w:left="1980"/>
      </w:pPr>
    </w:p>
    <w:p w:rsidR="00904A8D" w:rsidRDefault="00904A8D">
      <w:pPr>
        <w:pStyle w:val="Header"/>
        <w:numPr>
          <w:ilvl w:val="0"/>
          <w:numId w:val="2"/>
        </w:numPr>
        <w:tabs>
          <w:tab w:val="clear" w:pos="4153"/>
          <w:tab w:val="clear" w:pos="8306"/>
        </w:tabs>
        <w:ind w:hanging="720"/>
        <w:rPr>
          <w:b/>
        </w:rPr>
      </w:pPr>
      <w:r>
        <w:rPr>
          <w:rFonts w:cs="Arial"/>
          <w:b/>
          <w:bCs/>
          <w:sz w:val="28"/>
        </w:rPr>
        <w:t>Financial, resource and property implications</w:t>
      </w:r>
    </w:p>
    <w:p w:rsidR="00904A8D" w:rsidRDefault="00904A8D">
      <w:pPr>
        <w:pStyle w:val="Header"/>
        <w:tabs>
          <w:tab w:val="clear" w:pos="4153"/>
          <w:tab w:val="clear" w:pos="8306"/>
        </w:tabs>
        <w:rPr>
          <w:b/>
        </w:rPr>
      </w:pPr>
    </w:p>
    <w:p w:rsidR="00904A8D" w:rsidRDefault="00B56C5A">
      <w:pPr>
        <w:pStyle w:val="Header"/>
        <w:tabs>
          <w:tab w:val="clear" w:pos="4153"/>
          <w:tab w:val="clear" w:pos="8306"/>
        </w:tabs>
        <w:ind w:left="720" w:hanging="720"/>
        <w:rPr>
          <w:bCs/>
        </w:rPr>
      </w:pPr>
      <w:r>
        <w:rPr>
          <w:bCs/>
        </w:rPr>
        <w:t>4</w:t>
      </w:r>
      <w:r w:rsidR="00904A8D">
        <w:rPr>
          <w:bCs/>
        </w:rPr>
        <w:t>.1</w:t>
      </w:r>
      <w:r w:rsidR="00904A8D">
        <w:rPr>
          <w:bCs/>
        </w:rPr>
        <w:tab/>
        <w:t>The financial implications are detailed in the main body of this report</w:t>
      </w:r>
      <w:r w:rsidR="00974BB9">
        <w:rPr>
          <w:bCs/>
        </w:rPr>
        <w:t>.</w:t>
      </w:r>
      <w:r w:rsidR="00904A8D">
        <w:rPr>
          <w:bCs/>
        </w:rPr>
        <w:br/>
      </w:r>
    </w:p>
    <w:p w:rsidR="00904A8D" w:rsidRDefault="00904A8D">
      <w:pPr>
        <w:pStyle w:val="Header"/>
        <w:numPr>
          <w:ilvl w:val="0"/>
          <w:numId w:val="2"/>
        </w:numPr>
        <w:tabs>
          <w:tab w:val="clear" w:pos="4153"/>
          <w:tab w:val="clear" w:pos="8306"/>
        </w:tabs>
        <w:ind w:hanging="720"/>
        <w:rPr>
          <w:b/>
        </w:rPr>
      </w:pPr>
      <w:r>
        <w:rPr>
          <w:rFonts w:cs="Arial"/>
          <w:b/>
          <w:bCs/>
          <w:sz w:val="28"/>
        </w:rPr>
        <w:t>Legal and statutory implications</w:t>
      </w:r>
      <w:r>
        <w:rPr>
          <w:b/>
        </w:rPr>
        <w:br/>
      </w:r>
    </w:p>
    <w:p w:rsidR="00904A8D" w:rsidRDefault="00904A8D">
      <w:pPr>
        <w:pStyle w:val="Header"/>
        <w:numPr>
          <w:ilvl w:val="1"/>
          <w:numId w:val="2"/>
        </w:numPr>
        <w:tabs>
          <w:tab w:val="clear" w:pos="4153"/>
          <w:tab w:val="clear" w:pos="8306"/>
        </w:tabs>
        <w:ind w:hanging="720"/>
      </w:pPr>
      <w:r>
        <w:t xml:space="preserve">No legal implications at this stage. </w:t>
      </w:r>
    </w:p>
    <w:p w:rsidR="00904A8D" w:rsidRDefault="00904A8D">
      <w:pPr>
        <w:pStyle w:val="Header"/>
        <w:tabs>
          <w:tab w:val="clear" w:pos="4153"/>
          <w:tab w:val="clear" w:pos="8306"/>
        </w:tabs>
        <w:ind w:left="285" w:hanging="285"/>
        <w:rPr>
          <w:b/>
        </w:rPr>
      </w:pPr>
    </w:p>
    <w:p w:rsidR="00904A8D" w:rsidRDefault="00904A8D">
      <w:pPr>
        <w:pStyle w:val="Header"/>
        <w:numPr>
          <w:ilvl w:val="0"/>
          <w:numId w:val="2"/>
        </w:numPr>
        <w:tabs>
          <w:tab w:val="clear" w:pos="4153"/>
          <w:tab w:val="clear" w:pos="8306"/>
        </w:tabs>
        <w:ind w:hanging="720"/>
        <w:rPr>
          <w:b/>
        </w:rPr>
      </w:pPr>
      <w:r>
        <w:rPr>
          <w:rFonts w:cs="Arial"/>
          <w:b/>
          <w:bCs/>
          <w:sz w:val="28"/>
        </w:rPr>
        <w:t>Human rights, equalities and community cohesion implications</w:t>
      </w:r>
      <w:r>
        <w:rPr>
          <w:b/>
        </w:rPr>
        <w:br/>
      </w:r>
    </w:p>
    <w:p w:rsidR="00904A8D" w:rsidRDefault="00904A8D">
      <w:pPr>
        <w:pStyle w:val="Header"/>
        <w:numPr>
          <w:ilvl w:val="1"/>
          <w:numId w:val="2"/>
        </w:numPr>
        <w:tabs>
          <w:tab w:val="clear" w:pos="720"/>
          <w:tab w:val="clear" w:pos="4153"/>
          <w:tab w:val="clear" w:pos="8306"/>
        </w:tabs>
        <w:ind w:left="900" w:hanging="900"/>
      </w:pPr>
      <w:r>
        <w:t>None at this stage.</w:t>
      </w:r>
    </w:p>
    <w:p w:rsidR="00904A8D" w:rsidRDefault="00904A8D">
      <w:pPr>
        <w:autoSpaceDE w:val="0"/>
        <w:autoSpaceDN w:val="0"/>
        <w:adjustRightInd w:val="0"/>
        <w:rPr>
          <w:color w:val="000000"/>
          <w:lang w:val="en-US"/>
        </w:rPr>
      </w:pPr>
    </w:p>
    <w:p w:rsidR="00904A8D" w:rsidRDefault="00904A8D">
      <w:pPr>
        <w:pStyle w:val="Header"/>
        <w:numPr>
          <w:ilvl w:val="0"/>
          <w:numId w:val="2"/>
        </w:numPr>
        <w:tabs>
          <w:tab w:val="clear" w:pos="4153"/>
          <w:tab w:val="clear" w:pos="8306"/>
        </w:tabs>
        <w:ind w:hanging="720"/>
        <w:rPr>
          <w:rFonts w:cs="Arial"/>
          <w:b/>
          <w:bCs/>
          <w:sz w:val="28"/>
        </w:rPr>
      </w:pPr>
      <w:r>
        <w:rPr>
          <w:rFonts w:cs="Arial"/>
          <w:b/>
          <w:bCs/>
          <w:sz w:val="28"/>
        </w:rPr>
        <w:t>Appendices</w:t>
      </w:r>
    </w:p>
    <w:p w:rsidR="00904A8D" w:rsidRDefault="00904A8D">
      <w:pPr>
        <w:pStyle w:val="Header"/>
        <w:tabs>
          <w:tab w:val="clear" w:pos="4153"/>
          <w:tab w:val="clear" w:pos="8306"/>
        </w:tabs>
      </w:pPr>
    </w:p>
    <w:p w:rsidR="00904A8D" w:rsidRDefault="000E0556">
      <w:pPr>
        <w:pStyle w:val="Header"/>
        <w:numPr>
          <w:ilvl w:val="1"/>
          <w:numId w:val="2"/>
        </w:numPr>
        <w:tabs>
          <w:tab w:val="clear" w:pos="720"/>
          <w:tab w:val="clear" w:pos="4153"/>
          <w:tab w:val="clear" w:pos="8306"/>
        </w:tabs>
        <w:ind w:left="900" w:hanging="900"/>
      </w:pPr>
      <w:r>
        <w:t>Appendix A: EYSFF modelling 201</w:t>
      </w:r>
      <w:r w:rsidR="00F978FC">
        <w:t>6/17</w:t>
      </w:r>
    </w:p>
    <w:p w:rsidR="00F978FC" w:rsidRDefault="00F978FC" w:rsidP="00F978FC">
      <w:pPr>
        <w:pStyle w:val="Header"/>
        <w:numPr>
          <w:ilvl w:val="1"/>
          <w:numId w:val="2"/>
        </w:numPr>
        <w:tabs>
          <w:tab w:val="clear" w:pos="720"/>
          <w:tab w:val="clear" w:pos="4153"/>
          <w:tab w:val="clear" w:pos="8306"/>
        </w:tabs>
        <w:ind w:left="900" w:hanging="900"/>
      </w:pPr>
      <w:r>
        <w:t>Appendix B: 2YO FF modelling 2016/17</w:t>
      </w:r>
    </w:p>
    <w:p w:rsidR="00F978FC" w:rsidRDefault="00F978FC" w:rsidP="00F978FC">
      <w:pPr>
        <w:pStyle w:val="Header"/>
        <w:tabs>
          <w:tab w:val="clear" w:pos="4153"/>
          <w:tab w:val="clear" w:pos="8306"/>
        </w:tabs>
        <w:ind w:left="900"/>
      </w:pPr>
    </w:p>
    <w:p w:rsidR="00904A8D" w:rsidRDefault="00904A8D">
      <w:pPr>
        <w:pStyle w:val="Header"/>
        <w:tabs>
          <w:tab w:val="clear" w:pos="4153"/>
          <w:tab w:val="clear" w:pos="8306"/>
        </w:tabs>
      </w:pPr>
      <w:r>
        <w:tab/>
      </w:r>
    </w:p>
    <w:p w:rsidR="00904A8D" w:rsidRDefault="00904A8D">
      <w:pPr>
        <w:pStyle w:val="Header"/>
        <w:numPr>
          <w:ilvl w:val="0"/>
          <w:numId w:val="2"/>
        </w:numPr>
        <w:tabs>
          <w:tab w:val="clear" w:pos="4153"/>
          <w:tab w:val="clear" w:pos="8306"/>
        </w:tabs>
        <w:ind w:hanging="720"/>
        <w:rPr>
          <w:rFonts w:cs="Arial"/>
          <w:b/>
          <w:bCs/>
          <w:sz w:val="28"/>
        </w:rPr>
      </w:pPr>
      <w:r>
        <w:rPr>
          <w:rFonts w:cs="Arial"/>
          <w:b/>
          <w:bCs/>
          <w:sz w:val="28"/>
        </w:rPr>
        <w:lastRenderedPageBreak/>
        <w:t xml:space="preserve">Background Papers – the following documents have been relied on in drawing up this report but do not form part of the report: </w:t>
      </w:r>
    </w:p>
    <w:p w:rsidR="00904A8D" w:rsidRDefault="00904A8D">
      <w:pPr>
        <w:pStyle w:val="Header"/>
        <w:tabs>
          <w:tab w:val="clear" w:pos="4153"/>
          <w:tab w:val="clear" w:pos="8306"/>
        </w:tabs>
        <w:rPr>
          <w:rFonts w:cs="Arial"/>
          <w:b/>
          <w:bCs/>
          <w:sz w:val="28"/>
        </w:rPr>
      </w:pPr>
    </w:p>
    <w:p w:rsidR="00904A8D" w:rsidRDefault="00904A8D" w:rsidP="00974BB9">
      <w:pPr>
        <w:pStyle w:val="Header"/>
        <w:numPr>
          <w:ilvl w:val="1"/>
          <w:numId w:val="2"/>
        </w:numPr>
        <w:tabs>
          <w:tab w:val="clear" w:pos="4153"/>
          <w:tab w:val="clear" w:pos="8306"/>
          <w:tab w:val="left" w:pos="720"/>
        </w:tabs>
        <w:ind w:hanging="720"/>
      </w:pPr>
      <w:r>
        <w:t xml:space="preserve">Centrally held financial information and other papers held by the </w:t>
      </w:r>
      <w:smartTag w:uri="urn:schemas-microsoft-com:office:smarttags" w:element="place">
        <w:smartTag w:uri="urn:schemas-microsoft-com:office:smarttags" w:element="PlaceName">
          <w:r>
            <w:t>Children</w:t>
          </w:r>
        </w:smartTag>
        <w:r>
          <w:t xml:space="preserve"> </w:t>
        </w:r>
        <w:smartTag w:uri="urn:schemas-microsoft-com:office:smarttags" w:element="PlaceType">
          <w:r>
            <w:t>Schools</w:t>
          </w:r>
        </w:smartTag>
      </w:smartTag>
      <w:r>
        <w:t xml:space="preserve"> and Families Finance Team.</w:t>
      </w:r>
    </w:p>
    <w:p w:rsidR="00904A8D" w:rsidRDefault="00904A8D">
      <w:pPr>
        <w:pStyle w:val="Header"/>
        <w:tabs>
          <w:tab w:val="clear" w:pos="4153"/>
          <w:tab w:val="clear" w:pos="8306"/>
        </w:tabs>
      </w:pPr>
    </w:p>
    <w:p w:rsidR="00904A8D" w:rsidRDefault="00904A8D">
      <w:pPr>
        <w:pStyle w:val="Header"/>
        <w:numPr>
          <w:ilvl w:val="0"/>
          <w:numId w:val="2"/>
        </w:numPr>
        <w:tabs>
          <w:tab w:val="clear" w:pos="4153"/>
          <w:tab w:val="clear" w:pos="8306"/>
        </w:tabs>
        <w:ind w:hanging="720"/>
        <w:rPr>
          <w:rFonts w:cs="Arial"/>
          <w:b/>
          <w:bCs/>
          <w:sz w:val="28"/>
        </w:rPr>
      </w:pPr>
      <w:r>
        <w:rPr>
          <w:rFonts w:cs="Arial"/>
          <w:b/>
          <w:bCs/>
          <w:sz w:val="28"/>
        </w:rPr>
        <w:t>Report author</w:t>
      </w:r>
    </w:p>
    <w:p w:rsidR="00904A8D" w:rsidRDefault="00904A8D">
      <w:pPr>
        <w:pStyle w:val="Header"/>
        <w:tabs>
          <w:tab w:val="clear" w:pos="4153"/>
          <w:tab w:val="clear" w:pos="8306"/>
        </w:tabs>
      </w:pPr>
    </w:p>
    <w:p w:rsidR="00904A8D" w:rsidRDefault="00904A8D">
      <w:pPr>
        <w:pStyle w:val="Header"/>
        <w:tabs>
          <w:tab w:val="clear" w:pos="4153"/>
          <w:tab w:val="clear" w:pos="8306"/>
        </w:tabs>
      </w:pPr>
      <w:r>
        <w:t>Marius Karsten</w:t>
      </w:r>
      <w:r w:rsidR="00744C7F">
        <w:t>-Strydom</w:t>
      </w:r>
      <w:r>
        <w:t xml:space="preserve">, Service Financial Adviser CSF    </w:t>
      </w:r>
    </w:p>
    <w:p w:rsidR="00904A8D" w:rsidRDefault="00904A8D">
      <w:pPr>
        <w:pStyle w:val="Header"/>
        <w:tabs>
          <w:tab w:val="clear" w:pos="4153"/>
          <w:tab w:val="clear" w:pos="8306"/>
        </w:tabs>
      </w:pPr>
      <w:r>
        <w:t>0208 545 4129</w:t>
      </w:r>
    </w:p>
    <w:p w:rsidR="00904A8D" w:rsidRDefault="00C3413F">
      <w:pPr>
        <w:pStyle w:val="Header"/>
        <w:tabs>
          <w:tab w:val="clear" w:pos="4153"/>
          <w:tab w:val="clear" w:pos="8306"/>
        </w:tabs>
      </w:pPr>
      <w:hyperlink r:id="rId8" w:history="1">
        <w:r w:rsidR="00904A8D">
          <w:rPr>
            <w:rStyle w:val="Hyperlink"/>
          </w:rPr>
          <w:t>marius.karsten@merton.gov.uk</w:t>
        </w:r>
      </w:hyperlink>
    </w:p>
    <w:p w:rsidR="00904A8D" w:rsidRDefault="00904A8D">
      <w:pPr>
        <w:pStyle w:val="Header"/>
        <w:tabs>
          <w:tab w:val="clear" w:pos="4153"/>
          <w:tab w:val="clear" w:pos="8306"/>
        </w:tabs>
      </w:pPr>
    </w:p>
    <w:p w:rsidR="00904A8D" w:rsidRDefault="00904A8D" w:rsidP="002D513F">
      <w:pPr>
        <w:pStyle w:val="Header"/>
        <w:tabs>
          <w:tab w:val="clear" w:pos="4153"/>
          <w:tab w:val="clear" w:pos="8306"/>
        </w:tabs>
        <w:rPr>
          <w:b/>
          <w:sz w:val="36"/>
        </w:rPr>
      </w:pPr>
      <w:r>
        <w:t xml:space="preserve">Further information about Merton Council can be obtained from its web site </w:t>
      </w:r>
      <w:hyperlink r:id="rId9" w:history="1">
        <w:r>
          <w:rPr>
            <w:rStyle w:val="Hyperlink"/>
          </w:rPr>
          <w:t>www.merton.gov.uk</w:t>
        </w:r>
      </w:hyperlink>
      <w:r>
        <w:t xml:space="preserve"> </w:t>
      </w:r>
    </w:p>
    <w:sectPr w:rsidR="00904A8D" w:rsidSect="00B56C5A">
      <w:footerReference w:type="default" r:id="rId10"/>
      <w:pgSz w:w="11906" w:h="16838"/>
      <w:pgMar w:top="1440" w:right="1418" w:bottom="124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8DE" w:rsidRDefault="00B908DE">
      <w:r>
        <w:separator/>
      </w:r>
    </w:p>
  </w:endnote>
  <w:endnote w:type="continuationSeparator" w:id="0">
    <w:p w:rsidR="00B908DE" w:rsidRDefault="00B9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DE" w:rsidRDefault="00B908DE" w:rsidP="00C26836">
    <w:pPr>
      <w:pStyle w:val="Footer"/>
      <w:jc w:val="center"/>
    </w:pPr>
    <w:r>
      <w:rPr>
        <w:rStyle w:val="PageNumber"/>
      </w:rPr>
      <w:fldChar w:fldCharType="begin"/>
    </w:r>
    <w:r>
      <w:rPr>
        <w:rStyle w:val="PageNumber"/>
      </w:rPr>
      <w:instrText xml:space="preserve"> PAGE </w:instrText>
    </w:r>
    <w:r>
      <w:rPr>
        <w:rStyle w:val="PageNumber"/>
      </w:rPr>
      <w:fldChar w:fldCharType="separate"/>
    </w:r>
    <w:r w:rsidR="00C3413F">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8DE" w:rsidRDefault="00B908DE">
      <w:r>
        <w:separator/>
      </w:r>
    </w:p>
  </w:footnote>
  <w:footnote w:type="continuationSeparator" w:id="0">
    <w:p w:rsidR="00B908DE" w:rsidRDefault="00B908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0FFB"/>
    <w:multiLevelType w:val="hybridMultilevel"/>
    <w:tmpl w:val="894CAA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22A66B57"/>
    <w:multiLevelType w:val="hybridMultilevel"/>
    <w:tmpl w:val="0BB456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472398"/>
    <w:multiLevelType w:val="hybridMultilevel"/>
    <w:tmpl w:val="501E0576"/>
    <w:lvl w:ilvl="0" w:tplc="B9265FF2">
      <w:start w:val="1"/>
      <w:numFmt w:val="decimal"/>
      <w:lvlText w:val="3.%1"/>
      <w:lvlJc w:val="left"/>
      <w:pPr>
        <w:tabs>
          <w:tab w:val="num" w:pos="927"/>
        </w:tabs>
        <w:ind w:left="927" w:hanging="567"/>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9955D6"/>
    <w:multiLevelType w:val="hybridMultilevel"/>
    <w:tmpl w:val="7DE0A13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5">
    <w:nsid w:val="2CFC7F22"/>
    <w:multiLevelType w:val="hybridMultilevel"/>
    <w:tmpl w:val="0BB456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C47A8E"/>
    <w:multiLevelType w:val="hybridMultilevel"/>
    <w:tmpl w:val="0BB456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0F202D"/>
    <w:multiLevelType w:val="hybridMultilevel"/>
    <w:tmpl w:val="6F50D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35632B"/>
    <w:multiLevelType w:val="multilevel"/>
    <w:tmpl w:val="39304568"/>
    <w:lvl w:ilvl="0">
      <w:start w:val="2"/>
      <w:numFmt w:val="decimal"/>
      <w:lvlText w:val="%1."/>
      <w:lvlJc w:val="left"/>
      <w:pPr>
        <w:tabs>
          <w:tab w:val="num" w:pos="720"/>
        </w:tabs>
        <w:ind w:left="720" w:hanging="360"/>
      </w:pPr>
      <w:rPr>
        <w:rFonts w:hint="default"/>
        <w:sz w:val="24"/>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725E5A16"/>
    <w:multiLevelType w:val="hybridMultilevel"/>
    <w:tmpl w:val="03D66AFC"/>
    <w:lvl w:ilvl="0" w:tplc="FFFFFFFF">
      <w:start w:val="2"/>
      <w:numFmt w:val="upperLetter"/>
      <w:pStyle w:val="Heading7"/>
      <w:lvlText w:val="%1."/>
      <w:lvlJc w:val="left"/>
      <w:pPr>
        <w:tabs>
          <w:tab w:val="num" w:pos="855"/>
        </w:tabs>
        <w:ind w:left="855" w:hanging="495"/>
      </w:pPr>
      <w:rPr>
        <w:rFonts w:hint="default"/>
      </w:rPr>
    </w:lvl>
    <w:lvl w:ilvl="1" w:tplc="FFFFFFFF">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798B2095"/>
    <w:multiLevelType w:val="multilevel"/>
    <w:tmpl w:val="70609530"/>
    <w:lvl w:ilvl="0">
      <w:start w:val="1"/>
      <w:numFmt w:val="decimal"/>
      <w:lvlText w:val="%1."/>
      <w:lvlJc w:val="left"/>
      <w:pPr>
        <w:tabs>
          <w:tab w:val="num" w:pos="360"/>
        </w:tabs>
        <w:ind w:left="360" w:hanging="360"/>
      </w:pPr>
      <w:rPr>
        <w:rFonts w:hint="default"/>
        <w:sz w:val="24"/>
      </w:rPr>
    </w:lvl>
    <w:lvl w:ilvl="1">
      <w:start w:val="1"/>
      <w:numFmt w:val="decimal"/>
      <w:isLgl/>
      <w:lvlText w:val="%1.%2"/>
      <w:lvlJc w:val="left"/>
      <w:pPr>
        <w:ind w:left="360" w:hanging="360"/>
      </w:pPr>
      <w:rPr>
        <w:rFonts w:cs="Arial" w:hint="default"/>
        <w:sz w:val="24"/>
        <w:szCs w:val="24"/>
      </w:rPr>
    </w:lvl>
    <w:lvl w:ilvl="2">
      <w:start w:val="1"/>
      <w:numFmt w:val="decimal"/>
      <w:isLgl/>
      <w:lvlText w:val="%1.%2.%3"/>
      <w:lvlJc w:val="left"/>
      <w:pPr>
        <w:ind w:left="720" w:hanging="720"/>
      </w:pPr>
      <w:rPr>
        <w:rFonts w:cs="Arial" w:hint="default"/>
        <w:sz w:val="22"/>
      </w:rPr>
    </w:lvl>
    <w:lvl w:ilvl="3">
      <w:start w:val="1"/>
      <w:numFmt w:val="decimal"/>
      <w:isLgl/>
      <w:lvlText w:val="%1.%2.%3.%4"/>
      <w:lvlJc w:val="left"/>
      <w:pPr>
        <w:ind w:left="1080" w:hanging="1080"/>
      </w:pPr>
      <w:rPr>
        <w:rFonts w:cs="Arial" w:hint="default"/>
        <w:sz w:val="22"/>
      </w:rPr>
    </w:lvl>
    <w:lvl w:ilvl="4">
      <w:start w:val="1"/>
      <w:numFmt w:val="decimal"/>
      <w:isLgl/>
      <w:lvlText w:val="%1.%2.%3.%4.%5"/>
      <w:lvlJc w:val="left"/>
      <w:pPr>
        <w:ind w:left="1080" w:hanging="1080"/>
      </w:pPr>
      <w:rPr>
        <w:rFonts w:cs="Arial" w:hint="default"/>
        <w:sz w:val="22"/>
      </w:rPr>
    </w:lvl>
    <w:lvl w:ilvl="5">
      <w:start w:val="1"/>
      <w:numFmt w:val="decimal"/>
      <w:isLgl/>
      <w:lvlText w:val="%1.%2.%3.%4.%5.%6"/>
      <w:lvlJc w:val="left"/>
      <w:pPr>
        <w:ind w:left="1440" w:hanging="1440"/>
      </w:pPr>
      <w:rPr>
        <w:rFonts w:cs="Arial" w:hint="default"/>
        <w:sz w:val="22"/>
      </w:rPr>
    </w:lvl>
    <w:lvl w:ilvl="6">
      <w:start w:val="1"/>
      <w:numFmt w:val="decimal"/>
      <w:isLgl/>
      <w:lvlText w:val="%1.%2.%3.%4.%5.%6.%7"/>
      <w:lvlJc w:val="left"/>
      <w:pPr>
        <w:ind w:left="1440" w:hanging="1440"/>
      </w:pPr>
      <w:rPr>
        <w:rFonts w:cs="Arial" w:hint="default"/>
        <w:sz w:val="22"/>
      </w:rPr>
    </w:lvl>
    <w:lvl w:ilvl="7">
      <w:start w:val="1"/>
      <w:numFmt w:val="decimal"/>
      <w:isLgl/>
      <w:lvlText w:val="%1.%2.%3.%4.%5.%6.%7.%8"/>
      <w:lvlJc w:val="left"/>
      <w:pPr>
        <w:ind w:left="1800" w:hanging="1800"/>
      </w:pPr>
      <w:rPr>
        <w:rFonts w:cs="Arial" w:hint="default"/>
        <w:sz w:val="22"/>
      </w:rPr>
    </w:lvl>
    <w:lvl w:ilvl="8">
      <w:start w:val="1"/>
      <w:numFmt w:val="decimal"/>
      <w:isLgl/>
      <w:lvlText w:val="%1.%2.%3.%4.%5.%6.%7.%8.%9"/>
      <w:lvlJc w:val="left"/>
      <w:pPr>
        <w:ind w:left="1800" w:hanging="1800"/>
      </w:pPr>
      <w:rPr>
        <w:rFonts w:cs="Arial" w:hint="default"/>
        <w:sz w:val="22"/>
      </w:rPr>
    </w:lvl>
  </w:abstractNum>
  <w:abstractNum w:abstractNumId="11">
    <w:nsid w:val="7CAA5097"/>
    <w:multiLevelType w:val="hybridMultilevel"/>
    <w:tmpl w:val="CA80472C"/>
    <w:lvl w:ilvl="0" w:tplc="04090017">
      <w:start w:val="1"/>
      <w:numFmt w:val="lowerLetter"/>
      <w:lvlText w:val="%1)"/>
      <w:lvlJc w:val="left"/>
      <w:pPr>
        <w:tabs>
          <w:tab w:val="num" w:pos="720"/>
        </w:tabs>
        <w:ind w:left="720" w:hanging="360"/>
      </w:pPr>
      <w:rPr>
        <w:rFonts w:hint="default"/>
      </w:rPr>
    </w:lvl>
    <w:lvl w:ilvl="1" w:tplc="317016FC">
      <w:start w:val="1"/>
      <w:numFmt w:val="lowerLetter"/>
      <w:lvlText w:val="%2)"/>
      <w:lvlJc w:val="left"/>
      <w:pPr>
        <w:tabs>
          <w:tab w:val="num" w:pos="1440"/>
        </w:tabs>
        <w:ind w:left="1440" w:hanging="360"/>
      </w:pPr>
      <w:rPr>
        <w:rFonts w:hint="default"/>
      </w:rPr>
    </w:lvl>
    <w:lvl w:ilvl="2" w:tplc="5B9CEB36">
      <w:start w:val="1"/>
      <w:numFmt w:val="decimal"/>
      <w:lvlText w:val="%3)"/>
      <w:lvlJc w:val="left"/>
      <w:pPr>
        <w:tabs>
          <w:tab w:val="num" w:pos="2340"/>
        </w:tabs>
        <w:ind w:left="2340" w:hanging="360"/>
      </w:pPr>
      <w:rPr>
        <w:rFonts w:hint="default"/>
      </w:rPr>
    </w:lvl>
    <w:lvl w:ilvl="3" w:tplc="AF921F4A">
      <w:start w:val="1"/>
      <w:numFmt w:val="decimal"/>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0"/>
  </w:num>
  <w:num w:numId="4">
    <w:abstractNumId w:val="11"/>
  </w:num>
  <w:num w:numId="5">
    <w:abstractNumId w:val="5"/>
  </w:num>
  <w:num w:numId="6">
    <w:abstractNumId w:val="2"/>
  </w:num>
  <w:num w:numId="7">
    <w:abstractNumId w:val="6"/>
  </w:num>
  <w:num w:numId="8">
    <w:abstractNumId w:val="3"/>
  </w:num>
  <w:num w:numId="9">
    <w:abstractNumId w:val="0"/>
  </w:num>
  <w:num w:numId="10">
    <w:abstractNumId w:val="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72F"/>
    <w:rsid w:val="00010E9D"/>
    <w:rsid w:val="00014667"/>
    <w:rsid w:val="000231BF"/>
    <w:rsid w:val="0005477E"/>
    <w:rsid w:val="00070A6F"/>
    <w:rsid w:val="000A21B0"/>
    <w:rsid w:val="000A41CD"/>
    <w:rsid w:val="000B22D4"/>
    <w:rsid w:val="000C6058"/>
    <w:rsid w:val="000E0556"/>
    <w:rsid w:val="000F0383"/>
    <w:rsid w:val="00101C21"/>
    <w:rsid w:val="0011007A"/>
    <w:rsid w:val="00112415"/>
    <w:rsid w:val="001370A4"/>
    <w:rsid w:val="00164C7E"/>
    <w:rsid w:val="00171895"/>
    <w:rsid w:val="00185B84"/>
    <w:rsid w:val="00192B91"/>
    <w:rsid w:val="0019374C"/>
    <w:rsid w:val="001C2B4D"/>
    <w:rsid w:val="001C3BE0"/>
    <w:rsid w:val="001E6912"/>
    <w:rsid w:val="002157C8"/>
    <w:rsid w:val="00234C98"/>
    <w:rsid w:val="00243231"/>
    <w:rsid w:val="00272BD9"/>
    <w:rsid w:val="002A011D"/>
    <w:rsid w:val="002A7BB9"/>
    <w:rsid w:val="002D513F"/>
    <w:rsid w:val="002E5D2C"/>
    <w:rsid w:val="002E6C06"/>
    <w:rsid w:val="00301840"/>
    <w:rsid w:val="00343274"/>
    <w:rsid w:val="00343C21"/>
    <w:rsid w:val="003562D3"/>
    <w:rsid w:val="00374AD2"/>
    <w:rsid w:val="00391253"/>
    <w:rsid w:val="003E72EE"/>
    <w:rsid w:val="00410D3D"/>
    <w:rsid w:val="00412C03"/>
    <w:rsid w:val="00422992"/>
    <w:rsid w:val="00424D25"/>
    <w:rsid w:val="00461B87"/>
    <w:rsid w:val="00462DF1"/>
    <w:rsid w:val="004651BE"/>
    <w:rsid w:val="0048394B"/>
    <w:rsid w:val="00487E02"/>
    <w:rsid w:val="004A2B5D"/>
    <w:rsid w:val="004A5776"/>
    <w:rsid w:val="004C26F6"/>
    <w:rsid w:val="004F1ADD"/>
    <w:rsid w:val="00502787"/>
    <w:rsid w:val="00510738"/>
    <w:rsid w:val="0053247D"/>
    <w:rsid w:val="005549CF"/>
    <w:rsid w:val="00587F20"/>
    <w:rsid w:val="005B1BE3"/>
    <w:rsid w:val="005E0076"/>
    <w:rsid w:val="00610494"/>
    <w:rsid w:val="006331E9"/>
    <w:rsid w:val="00633A69"/>
    <w:rsid w:val="00663BD2"/>
    <w:rsid w:val="00672CDF"/>
    <w:rsid w:val="00683B04"/>
    <w:rsid w:val="006A1CB0"/>
    <w:rsid w:val="006C0C1F"/>
    <w:rsid w:val="006E2A53"/>
    <w:rsid w:val="006F7E4E"/>
    <w:rsid w:val="00701104"/>
    <w:rsid w:val="007361E3"/>
    <w:rsid w:val="00744311"/>
    <w:rsid w:val="00744C7F"/>
    <w:rsid w:val="007662BC"/>
    <w:rsid w:val="00772B0C"/>
    <w:rsid w:val="00782CF0"/>
    <w:rsid w:val="00786603"/>
    <w:rsid w:val="007E18A6"/>
    <w:rsid w:val="007F14DE"/>
    <w:rsid w:val="007F1509"/>
    <w:rsid w:val="008162C5"/>
    <w:rsid w:val="00822CFC"/>
    <w:rsid w:val="00832336"/>
    <w:rsid w:val="00854DA2"/>
    <w:rsid w:val="00871DB9"/>
    <w:rsid w:val="008912E4"/>
    <w:rsid w:val="008A2C83"/>
    <w:rsid w:val="008C19FB"/>
    <w:rsid w:val="008D4BA3"/>
    <w:rsid w:val="008F24D3"/>
    <w:rsid w:val="008F6925"/>
    <w:rsid w:val="00904A8D"/>
    <w:rsid w:val="0092072A"/>
    <w:rsid w:val="00974BB9"/>
    <w:rsid w:val="00993A59"/>
    <w:rsid w:val="009944A5"/>
    <w:rsid w:val="009A2FBF"/>
    <w:rsid w:val="009C5A47"/>
    <w:rsid w:val="009D66C8"/>
    <w:rsid w:val="00A0291D"/>
    <w:rsid w:val="00A26B18"/>
    <w:rsid w:val="00A63016"/>
    <w:rsid w:val="00A74219"/>
    <w:rsid w:val="00A94D56"/>
    <w:rsid w:val="00A9533D"/>
    <w:rsid w:val="00AA24F9"/>
    <w:rsid w:val="00AB0EFC"/>
    <w:rsid w:val="00AC15C4"/>
    <w:rsid w:val="00AE475F"/>
    <w:rsid w:val="00AF1FA6"/>
    <w:rsid w:val="00AF2743"/>
    <w:rsid w:val="00B176B0"/>
    <w:rsid w:val="00B261E4"/>
    <w:rsid w:val="00B36C28"/>
    <w:rsid w:val="00B56C5A"/>
    <w:rsid w:val="00B908DE"/>
    <w:rsid w:val="00B92D2A"/>
    <w:rsid w:val="00BD2328"/>
    <w:rsid w:val="00BD3873"/>
    <w:rsid w:val="00BE5714"/>
    <w:rsid w:val="00BE5D2D"/>
    <w:rsid w:val="00BF2ADB"/>
    <w:rsid w:val="00BF6604"/>
    <w:rsid w:val="00C16A4D"/>
    <w:rsid w:val="00C21389"/>
    <w:rsid w:val="00C23A46"/>
    <w:rsid w:val="00C26836"/>
    <w:rsid w:val="00C3413F"/>
    <w:rsid w:val="00C4634B"/>
    <w:rsid w:val="00C50242"/>
    <w:rsid w:val="00C81BE2"/>
    <w:rsid w:val="00C871AB"/>
    <w:rsid w:val="00CA18EC"/>
    <w:rsid w:val="00CB3DFC"/>
    <w:rsid w:val="00CF272F"/>
    <w:rsid w:val="00CF2F26"/>
    <w:rsid w:val="00D1297D"/>
    <w:rsid w:val="00D15F05"/>
    <w:rsid w:val="00D23680"/>
    <w:rsid w:val="00D45591"/>
    <w:rsid w:val="00D56828"/>
    <w:rsid w:val="00D61869"/>
    <w:rsid w:val="00D6706B"/>
    <w:rsid w:val="00D71472"/>
    <w:rsid w:val="00DA6130"/>
    <w:rsid w:val="00DB17E4"/>
    <w:rsid w:val="00DB5E20"/>
    <w:rsid w:val="00DB6E0D"/>
    <w:rsid w:val="00DF26E2"/>
    <w:rsid w:val="00DF48E6"/>
    <w:rsid w:val="00E227A1"/>
    <w:rsid w:val="00E376A6"/>
    <w:rsid w:val="00E61A46"/>
    <w:rsid w:val="00E71736"/>
    <w:rsid w:val="00EA0328"/>
    <w:rsid w:val="00EA2E68"/>
    <w:rsid w:val="00EC2DB9"/>
    <w:rsid w:val="00ED7DB4"/>
    <w:rsid w:val="00EE45A9"/>
    <w:rsid w:val="00F12ABA"/>
    <w:rsid w:val="00F26633"/>
    <w:rsid w:val="00F4301A"/>
    <w:rsid w:val="00F51077"/>
    <w:rsid w:val="00F84E82"/>
    <w:rsid w:val="00F91EBA"/>
    <w:rsid w:val="00F978FC"/>
    <w:rsid w:val="00FA64AC"/>
    <w:rsid w:val="00FD2F5E"/>
    <w:rsid w:val="00FF32FA"/>
    <w:rsid w:val="00FF3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7">
    <w:name w:val="heading 7"/>
    <w:basedOn w:val="Normal"/>
    <w:next w:val="Normal"/>
    <w:qFormat/>
    <w:pPr>
      <w:keepNext/>
      <w:numPr>
        <w:numId w:val="1"/>
      </w:numPr>
      <w:outlineLvl w:val="6"/>
    </w:pPr>
    <w:rPr>
      <w:rFonts w:ascii="Arial" w:hAnsi="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Cs w:val="20"/>
    </w:rPr>
  </w:style>
  <w:style w:type="character" w:styleId="Hyperlink">
    <w:name w:val="Hyperlink"/>
    <w:rPr>
      <w:color w:val="0000FF"/>
      <w:u w:val="single"/>
    </w:rPr>
  </w:style>
  <w:style w:type="paragraph" w:styleId="BodyText3">
    <w:name w:val="Body Text 3"/>
    <w:basedOn w:val="Normal"/>
    <w:rPr>
      <w:rFonts w:ascii="Arial" w:hAnsi="Arial"/>
      <w:b/>
      <w:bCs/>
      <w:szCs w:val="20"/>
    </w:rPr>
  </w:style>
  <w:style w:type="paragraph" w:styleId="BodyTextIndent3">
    <w:name w:val="Body Text Indent 3"/>
    <w:basedOn w:val="Normal"/>
    <w:pPr>
      <w:ind w:left="720"/>
    </w:pPr>
    <w:rPr>
      <w:rFonts w:ascii="Arial" w:hAnsi="Arial" w:cs="Arial"/>
      <w:sz w:val="22"/>
      <w:szCs w:val="20"/>
    </w:rPr>
  </w:style>
  <w:style w:type="paragraph" w:styleId="Title">
    <w:name w:val="Title"/>
    <w:basedOn w:val="Normal"/>
    <w:qFormat/>
    <w:pPr>
      <w:jc w:val="center"/>
    </w:pPr>
    <w:rPr>
      <w:b/>
      <w:bCs/>
      <w:u w:val="single"/>
    </w:rPr>
  </w:style>
  <w:style w:type="paragraph" w:styleId="Subtitle">
    <w:name w:val="Subtitle"/>
    <w:basedOn w:val="Normal"/>
    <w:qFormat/>
    <w:pPr>
      <w:jc w:val="center"/>
    </w:pPr>
    <w:rPr>
      <w:rFonts w:ascii="Arial" w:hAnsi="Arial" w:cs="Arial"/>
      <w:b/>
      <w:bCs/>
      <w:szCs w:val="20"/>
    </w:rPr>
  </w:style>
  <w:style w:type="paragraph" w:styleId="BodyText">
    <w:name w:val="Body Text"/>
    <w:basedOn w:val="Normal"/>
    <w:rsid w:val="00A26B18"/>
    <w:pPr>
      <w:spacing w:after="120"/>
    </w:pPr>
  </w:style>
  <w:style w:type="paragraph" w:styleId="Footer">
    <w:name w:val="footer"/>
    <w:basedOn w:val="Normal"/>
    <w:rsid w:val="00C26836"/>
    <w:pPr>
      <w:tabs>
        <w:tab w:val="center" w:pos="4153"/>
        <w:tab w:val="right" w:pos="8306"/>
      </w:tabs>
    </w:pPr>
  </w:style>
  <w:style w:type="character" w:styleId="PageNumber">
    <w:name w:val="page number"/>
    <w:basedOn w:val="DefaultParagraphFont"/>
    <w:rsid w:val="00C26836"/>
  </w:style>
  <w:style w:type="table" w:styleId="TableGrid">
    <w:name w:val="Table Grid"/>
    <w:basedOn w:val="TableNormal"/>
    <w:rsid w:val="00BE5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1CB0"/>
    <w:pPr>
      <w:ind w:left="720"/>
    </w:pPr>
  </w:style>
  <w:style w:type="paragraph" w:customStyle="1" w:styleId="DfESOutNumbered">
    <w:name w:val="DfESOutNumbered"/>
    <w:basedOn w:val="Normal"/>
    <w:rsid w:val="00B908DE"/>
    <w:pPr>
      <w:widowControl w:val="0"/>
      <w:numPr>
        <w:numId w:val="10"/>
      </w:numPr>
      <w:overflowPunct w:val="0"/>
      <w:autoSpaceDE w:val="0"/>
      <w:autoSpaceDN w:val="0"/>
      <w:adjustRightInd w:val="0"/>
      <w:spacing w:after="240" w:line="276" w:lineRule="auto"/>
      <w:textAlignment w:val="baseline"/>
    </w:pPr>
    <w:rPr>
      <w:rFonts w:ascii="Arial" w:eastAsiaTheme="minorHAnsi" w:hAnsi="Arial" w:cs="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7">
    <w:name w:val="heading 7"/>
    <w:basedOn w:val="Normal"/>
    <w:next w:val="Normal"/>
    <w:qFormat/>
    <w:pPr>
      <w:keepNext/>
      <w:numPr>
        <w:numId w:val="1"/>
      </w:numPr>
      <w:outlineLvl w:val="6"/>
    </w:pPr>
    <w:rPr>
      <w:rFonts w:ascii="Arial" w:hAnsi="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Cs w:val="20"/>
    </w:rPr>
  </w:style>
  <w:style w:type="character" w:styleId="Hyperlink">
    <w:name w:val="Hyperlink"/>
    <w:rPr>
      <w:color w:val="0000FF"/>
      <w:u w:val="single"/>
    </w:rPr>
  </w:style>
  <w:style w:type="paragraph" w:styleId="BodyText3">
    <w:name w:val="Body Text 3"/>
    <w:basedOn w:val="Normal"/>
    <w:rPr>
      <w:rFonts w:ascii="Arial" w:hAnsi="Arial"/>
      <w:b/>
      <w:bCs/>
      <w:szCs w:val="20"/>
    </w:rPr>
  </w:style>
  <w:style w:type="paragraph" w:styleId="BodyTextIndent3">
    <w:name w:val="Body Text Indent 3"/>
    <w:basedOn w:val="Normal"/>
    <w:pPr>
      <w:ind w:left="720"/>
    </w:pPr>
    <w:rPr>
      <w:rFonts w:ascii="Arial" w:hAnsi="Arial" w:cs="Arial"/>
      <w:sz w:val="22"/>
      <w:szCs w:val="20"/>
    </w:rPr>
  </w:style>
  <w:style w:type="paragraph" w:styleId="Title">
    <w:name w:val="Title"/>
    <w:basedOn w:val="Normal"/>
    <w:qFormat/>
    <w:pPr>
      <w:jc w:val="center"/>
    </w:pPr>
    <w:rPr>
      <w:b/>
      <w:bCs/>
      <w:u w:val="single"/>
    </w:rPr>
  </w:style>
  <w:style w:type="paragraph" w:styleId="Subtitle">
    <w:name w:val="Subtitle"/>
    <w:basedOn w:val="Normal"/>
    <w:qFormat/>
    <w:pPr>
      <w:jc w:val="center"/>
    </w:pPr>
    <w:rPr>
      <w:rFonts w:ascii="Arial" w:hAnsi="Arial" w:cs="Arial"/>
      <w:b/>
      <w:bCs/>
      <w:szCs w:val="20"/>
    </w:rPr>
  </w:style>
  <w:style w:type="paragraph" w:styleId="BodyText">
    <w:name w:val="Body Text"/>
    <w:basedOn w:val="Normal"/>
    <w:rsid w:val="00A26B18"/>
    <w:pPr>
      <w:spacing w:after="120"/>
    </w:pPr>
  </w:style>
  <w:style w:type="paragraph" w:styleId="Footer">
    <w:name w:val="footer"/>
    <w:basedOn w:val="Normal"/>
    <w:rsid w:val="00C26836"/>
    <w:pPr>
      <w:tabs>
        <w:tab w:val="center" w:pos="4153"/>
        <w:tab w:val="right" w:pos="8306"/>
      </w:tabs>
    </w:pPr>
  </w:style>
  <w:style w:type="character" w:styleId="PageNumber">
    <w:name w:val="page number"/>
    <w:basedOn w:val="DefaultParagraphFont"/>
    <w:rsid w:val="00C26836"/>
  </w:style>
  <w:style w:type="table" w:styleId="TableGrid">
    <w:name w:val="Table Grid"/>
    <w:basedOn w:val="TableNormal"/>
    <w:rsid w:val="00BE5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1CB0"/>
    <w:pPr>
      <w:ind w:left="720"/>
    </w:pPr>
  </w:style>
  <w:style w:type="paragraph" w:customStyle="1" w:styleId="DfESOutNumbered">
    <w:name w:val="DfESOutNumbered"/>
    <w:basedOn w:val="Normal"/>
    <w:rsid w:val="00B908DE"/>
    <w:pPr>
      <w:widowControl w:val="0"/>
      <w:numPr>
        <w:numId w:val="10"/>
      </w:numPr>
      <w:overflowPunct w:val="0"/>
      <w:autoSpaceDE w:val="0"/>
      <w:autoSpaceDN w:val="0"/>
      <w:adjustRightInd w:val="0"/>
      <w:spacing w:after="240" w:line="276" w:lineRule="auto"/>
      <w:textAlignment w:val="baseline"/>
    </w:pPr>
    <w:rPr>
      <w:rFonts w:ascii="Arial" w:eastAsiaTheme="minorHAnsi"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52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oe.Church@merton.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r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883</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Schools Forum    October 16 2006</vt:lpstr>
    </vt:vector>
  </TitlesOfParts>
  <Company>LBM</Company>
  <LinksUpToDate>false</LinksUpToDate>
  <CharactersWithSpaces>5461</CharactersWithSpaces>
  <SharedDoc>false</SharedDoc>
  <HLinks>
    <vt:vector size="12" baseType="variant">
      <vt:variant>
        <vt:i4>6225995</vt:i4>
      </vt:variant>
      <vt:variant>
        <vt:i4>3</vt:i4>
      </vt:variant>
      <vt:variant>
        <vt:i4>0</vt:i4>
      </vt:variant>
      <vt:variant>
        <vt:i4>5</vt:i4>
      </vt:variant>
      <vt:variant>
        <vt:lpwstr>http://www.merton.gov.uk/</vt:lpwstr>
      </vt:variant>
      <vt:variant>
        <vt:lpwstr/>
      </vt:variant>
      <vt:variant>
        <vt:i4>5439590</vt:i4>
      </vt:variant>
      <vt:variant>
        <vt:i4>0</vt:i4>
      </vt:variant>
      <vt:variant>
        <vt:i4>0</vt:i4>
      </vt:variant>
      <vt:variant>
        <vt:i4>5</vt:i4>
      </vt:variant>
      <vt:variant>
        <vt:lpwstr>mailto:Zoe.Church@merton.gov.uk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Forum    October 16 2006</dc:title>
  <dc:creator>Zoe Church</dc:creator>
  <cp:lastModifiedBy>marius karsten</cp:lastModifiedBy>
  <cp:revision>5</cp:revision>
  <cp:lastPrinted>2015-01-26T16:02:00Z</cp:lastPrinted>
  <dcterms:created xsi:type="dcterms:W3CDTF">2016-01-25T09:31:00Z</dcterms:created>
  <dcterms:modified xsi:type="dcterms:W3CDTF">2016-01-27T16:58:00Z</dcterms:modified>
</cp:coreProperties>
</file>