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740B0" w14:textId="77777777" w:rsidR="00904A8D" w:rsidRDefault="00904A8D">
      <w:pPr>
        <w:pStyle w:val="Header"/>
        <w:tabs>
          <w:tab w:val="clear" w:pos="4153"/>
          <w:tab w:val="clear" w:pos="8306"/>
        </w:tabs>
        <w:rPr>
          <w:rFonts w:ascii="Times New Roman" w:hAnsi="Times New Roman"/>
          <w:szCs w:val="24"/>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0"/>
        <w:gridCol w:w="2946"/>
      </w:tblGrid>
      <w:tr w:rsidR="00904A8D" w:rsidRPr="00420DD5" w14:paraId="6E6740B4" w14:textId="77777777">
        <w:trPr>
          <w:trHeight w:val="680"/>
        </w:trPr>
        <w:tc>
          <w:tcPr>
            <w:tcW w:w="6440" w:type="dxa"/>
          </w:tcPr>
          <w:p w14:paraId="6E6740B1" w14:textId="77777777" w:rsidR="00904A8D" w:rsidRDefault="00904A8D">
            <w:pPr>
              <w:pStyle w:val="Header"/>
              <w:tabs>
                <w:tab w:val="clear" w:pos="4153"/>
                <w:tab w:val="clear" w:pos="8306"/>
              </w:tabs>
              <w:spacing w:after="120"/>
              <w:rPr>
                <w:b/>
                <w:sz w:val="32"/>
              </w:rPr>
            </w:pPr>
          </w:p>
          <w:p w14:paraId="6E6740B2" w14:textId="2A6964E2" w:rsidR="00904A8D" w:rsidRPr="00420DD5" w:rsidRDefault="009667E9" w:rsidP="00AD3F1E">
            <w:pPr>
              <w:pStyle w:val="Header"/>
              <w:tabs>
                <w:tab w:val="clear" w:pos="4153"/>
                <w:tab w:val="clear" w:pos="8306"/>
              </w:tabs>
              <w:spacing w:after="120"/>
              <w:rPr>
                <w:b/>
              </w:rPr>
            </w:pPr>
            <w:r w:rsidRPr="00420DD5">
              <w:rPr>
                <w:b/>
                <w:sz w:val="32"/>
              </w:rPr>
              <w:t xml:space="preserve">Schools Forum    </w:t>
            </w:r>
            <w:r w:rsidR="00420DD5" w:rsidRPr="00420DD5">
              <w:rPr>
                <w:b/>
                <w:sz w:val="32"/>
              </w:rPr>
              <w:t>16</w:t>
            </w:r>
            <w:r w:rsidR="005C145A" w:rsidRPr="00420DD5">
              <w:rPr>
                <w:b/>
                <w:sz w:val="32"/>
                <w:vertAlign w:val="superscript"/>
              </w:rPr>
              <w:t>th</w:t>
            </w:r>
            <w:r w:rsidR="005C145A" w:rsidRPr="00420DD5">
              <w:rPr>
                <w:b/>
                <w:sz w:val="32"/>
              </w:rPr>
              <w:t xml:space="preserve"> </w:t>
            </w:r>
            <w:r w:rsidR="00AD3F1E" w:rsidRPr="00420DD5">
              <w:rPr>
                <w:b/>
                <w:sz w:val="32"/>
              </w:rPr>
              <w:t>July</w:t>
            </w:r>
            <w:r w:rsidR="00904A8D" w:rsidRPr="00420DD5">
              <w:rPr>
                <w:b/>
                <w:sz w:val="32"/>
              </w:rPr>
              <w:t xml:space="preserve"> 20</w:t>
            </w:r>
            <w:r w:rsidR="005C145A" w:rsidRPr="00420DD5">
              <w:rPr>
                <w:b/>
                <w:sz w:val="32"/>
              </w:rPr>
              <w:t>20</w:t>
            </w:r>
          </w:p>
        </w:tc>
        <w:tc>
          <w:tcPr>
            <w:tcW w:w="2946" w:type="dxa"/>
          </w:tcPr>
          <w:p w14:paraId="6E6740B3" w14:textId="77777777" w:rsidR="00904A8D" w:rsidRPr="00420DD5" w:rsidRDefault="00904A8D" w:rsidP="00A87FA9">
            <w:pPr>
              <w:pStyle w:val="Header"/>
              <w:tabs>
                <w:tab w:val="clear" w:pos="4153"/>
                <w:tab w:val="clear" w:pos="8306"/>
              </w:tabs>
              <w:spacing w:before="120"/>
              <w:rPr>
                <w:sz w:val="40"/>
                <w:szCs w:val="40"/>
              </w:rPr>
            </w:pPr>
            <w:r w:rsidRPr="00420DD5">
              <w:t xml:space="preserve">Item </w:t>
            </w:r>
            <w:r w:rsidR="00DB5E20" w:rsidRPr="00420DD5">
              <w:rPr>
                <w:sz w:val="40"/>
                <w:szCs w:val="40"/>
              </w:rPr>
              <w:t xml:space="preserve">   </w:t>
            </w:r>
          </w:p>
        </w:tc>
      </w:tr>
    </w:tbl>
    <w:p w14:paraId="6E6740B5" w14:textId="77777777" w:rsidR="00904A8D" w:rsidRPr="00420DD5" w:rsidRDefault="00904A8D">
      <w:pPr>
        <w:pStyle w:val="Header"/>
        <w:tabs>
          <w:tab w:val="clear" w:pos="4153"/>
          <w:tab w:val="clear" w:pos="8306"/>
        </w:tabs>
        <w:jc w:val="right"/>
        <w:rPr>
          <w:highlight w:val="yellow"/>
        </w:rPr>
      </w:pPr>
    </w:p>
    <w:p w14:paraId="6E6740B6" w14:textId="354D94C3" w:rsidR="00904A8D" w:rsidRPr="00420DD5" w:rsidRDefault="00DB5E20">
      <w:pPr>
        <w:pStyle w:val="Header"/>
        <w:tabs>
          <w:tab w:val="clear" w:pos="4153"/>
          <w:tab w:val="clear" w:pos="8306"/>
        </w:tabs>
      </w:pPr>
      <w:r w:rsidRPr="00420DD5">
        <w:rPr>
          <w:b/>
        </w:rPr>
        <w:t>SUBJECT:  D</w:t>
      </w:r>
      <w:r w:rsidR="00904A8D" w:rsidRPr="00420DD5">
        <w:rPr>
          <w:b/>
        </w:rPr>
        <w:t xml:space="preserve">SG </w:t>
      </w:r>
      <w:r w:rsidR="00AD3F1E" w:rsidRPr="00420DD5">
        <w:rPr>
          <w:b/>
        </w:rPr>
        <w:t>outturn r</w:t>
      </w:r>
      <w:r w:rsidRPr="00420DD5">
        <w:rPr>
          <w:b/>
        </w:rPr>
        <w:t xml:space="preserve">eport for </w:t>
      </w:r>
      <w:r w:rsidR="00AD3F1E" w:rsidRPr="00420DD5">
        <w:rPr>
          <w:b/>
        </w:rPr>
        <w:t xml:space="preserve">July </w:t>
      </w:r>
      <w:r w:rsidR="005C145A" w:rsidRPr="00420DD5">
        <w:rPr>
          <w:b/>
        </w:rPr>
        <w:t>2020</w:t>
      </w:r>
    </w:p>
    <w:p w14:paraId="6E6740B7" w14:textId="77777777" w:rsidR="00904A8D" w:rsidRPr="00420DD5" w:rsidRDefault="00904A8D">
      <w:pPr>
        <w:pStyle w:val="Header"/>
        <w:tabs>
          <w:tab w:val="clear" w:pos="4153"/>
          <w:tab w:val="clear" w:pos="8306"/>
        </w:tabs>
        <w:rPr>
          <w:b/>
        </w:rPr>
      </w:pPr>
    </w:p>
    <w:p w14:paraId="6E6740B8" w14:textId="0F87E56D" w:rsidR="00904A8D" w:rsidRPr="00420DD5" w:rsidRDefault="00904A8D">
      <w:pPr>
        <w:pStyle w:val="Header"/>
        <w:tabs>
          <w:tab w:val="clear" w:pos="4153"/>
          <w:tab w:val="clear" w:pos="8306"/>
        </w:tabs>
      </w:pPr>
      <w:r w:rsidRPr="00420DD5">
        <w:rPr>
          <w:b/>
        </w:rPr>
        <w:t xml:space="preserve">LEAD OFFICER: </w:t>
      </w:r>
      <w:r w:rsidR="005C145A" w:rsidRPr="00420DD5">
        <w:rPr>
          <w:b/>
        </w:rPr>
        <w:t>Feroza Begum</w:t>
      </w:r>
      <w:r w:rsidRPr="00420DD5">
        <w:rPr>
          <w:bCs/>
        </w:rPr>
        <w:t>,</w:t>
      </w:r>
      <w:r w:rsidRPr="00420DD5">
        <w:t xml:space="preserve"> Children, Schools and Families Finance</w:t>
      </w:r>
    </w:p>
    <w:p w14:paraId="6E6740B9" w14:textId="77777777" w:rsidR="00904A8D" w:rsidRPr="00420DD5" w:rsidRDefault="00904A8D">
      <w:pPr>
        <w:pStyle w:val="Header"/>
        <w:tabs>
          <w:tab w:val="clear" w:pos="4153"/>
          <w:tab w:val="clear" w:pos="8306"/>
        </w:tabs>
        <w:rPr>
          <w:b/>
        </w:rPr>
      </w:pPr>
    </w:p>
    <w:p w14:paraId="6E6740BA" w14:textId="77777777" w:rsidR="00904A8D" w:rsidRPr="00420DD5" w:rsidRDefault="00904A8D">
      <w:pPr>
        <w:pStyle w:val="Header"/>
        <w:tabs>
          <w:tab w:val="clear" w:pos="4153"/>
          <w:tab w:val="clear" w:pos="8306"/>
        </w:tabs>
        <w:rPr>
          <w:b/>
          <w:sz w:val="28"/>
        </w:rPr>
      </w:pPr>
      <w:r w:rsidRPr="00420DD5">
        <w:rPr>
          <w:b/>
          <w:sz w:val="28"/>
        </w:rPr>
        <w:t xml:space="preserve">RECOMMENDATION </w:t>
      </w:r>
    </w:p>
    <w:p w14:paraId="6E6740BB" w14:textId="77777777" w:rsidR="00904A8D" w:rsidRPr="00420DD5" w:rsidRDefault="00904A8D">
      <w:pPr>
        <w:pStyle w:val="Header"/>
        <w:tabs>
          <w:tab w:val="clear" w:pos="4153"/>
          <w:tab w:val="clear" w:pos="8306"/>
        </w:tabs>
        <w:rPr>
          <w:b/>
        </w:rPr>
      </w:pPr>
    </w:p>
    <w:p w14:paraId="6E6740BC" w14:textId="77777777" w:rsidR="00DB5E20" w:rsidRPr="00420DD5" w:rsidRDefault="00904A8D">
      <w:pPr>
        <w:pStyle w:val="Header"/>
        <w:tabs>
          <w:tab w:val="clear" w:pos="4153"/>
          <w:tab w:val="clear" w:pos="8306"/>
        </w:tabs>
        <w:ind w:left="360"/>
        <w:rPr>
          <w:b/>
        </w:rPr>
      </w:pPr>
      <w:r w:rsidRPr="00420DD5">
        <w:rPr>
          <w:b/>
        </w:rPr>
        <w:t>That the Forum</w:t>
      </w:r>
      <w:r w:rsidR="00DB5E20" w:rsidRPr="00420DD5">
        <w:rPr>
          <w:b/>
        </w:rPr>
        <w:t>:</w:t>
      </w:r>
    </w:p>
    <w:p w14:paraId="6E6740BD" w14:textId="77777777" w:rsidR="00DB5E20" w:rsidRPr="00420DD5" w:rsidRDefault="00DB5E20" w:rsidP="00DB5E20">
      <w:pPr>
        <w:pStyle w:val="Header"/>
        <w:tabs>
          <w:tab w:val="clear" w:pos="4153"/>
          <w:tab w:val="clear" w:pos="8306"/>
        </w:tabs>
        <w:rPr>
          <w:b/>
        </w:rPr>
      </w:pPr>
    </w:p>
    <w:p w14:paraId="2C94B0C2" w14:textId="12ADFBF4" w:rsidR="00AD3F1E" w:rsidRPr="00420DD5" w:rsidRDefault="00AD3F1E" w:rsidP="00DB5E20">
      <w:pPr>
        <w:pStyle w:val="Header"/>
        <w:numPr>
          <w:ilvl w:val="0"/>
          <w:numId w:val="4"/>
        </w:numPr>
        <w:tabs>
          <w:tab w:val="clear" w:pos="4153"/>
          <w:tab w:val="clear" w:pos="8306"/>
        </w:tabs>
        <w:rPr>
          <w:b/>
        </w:rPr>
      </w:pPr>
      <w:r w:rsidRPr="00420DD5">
        <w:rPr>
          <w:b/>
        </w:rPr>
        <w:t>Notes the outturn position of the Dedicated Schools Grant (DSG) as at 31</w:t>
      </w:r>
      <w:r w:rsidRPr="00420DD5">
        <w:rPr>
          <w:b/>
          <w:vertAlign w:val="superscript"/>
        </w:rPr>
        <w:t>st</w:t>
      </w:r>
      <w:r w:rsidRPr="00420DD5">
        <w:rPr>
          <w:b/>
        </w:rPr>
        <w:t xml:space="preserve"> March 2020, and</w:t>
      </w:r>
    </w:p>
    <w:p w14:paraId="37A76F12" w14:textId="77777777" w:rsidR="00420DD5" w:rsidRPr="00420DD5" w:rsidRDefault="00420DD5" w:rsidP="00420DD5">
      <w:pPr>
        <w:pStyle w:val="Header"/>
        <w:tabs>
          <w:tab w:val="clear" w:pos="4153"/>
          <w:tab w:val="clear" w:pos="8306"/>
        </w:tabs>
        <w:ind w:left="720"/>
        <w:rPr>
          <w:b/>
        </w:rPr>
      </w:pPr>
    </w:p>
    <w:p w14:paraId="6E6740BE" w14:textId="11A4ECDD" w:rsidR="00DB5E20" w:rsidRPr="00420DD5" w:rsidRDefault="00FD1901" w:rsidP="00DB5E20">
      <w:pPr>
        <w:pStyle w:val="Header"/>
        <w:numPr>
          <w:ilvl w:val="0"/>
          <w:numId w:val="4"/>
        </w:numPr>
        <w:tabs>
          <w:tab w:val="clear" w:pos="4153"/>
          <w:tab w:val="clear" w:pos="8306"/>
        </w:tabs>
        <w:rPr>
          <w:b/>
        </w:rPr>
      </w:pPr>
      <w:r w:rsidRPr="00420DD5">
        <w:rPr>
          <w:b/>
        </w:rPr>
        <w:t>except for the Attain reserve, agree to use the underspends in the other blocks to reduce the overspend in the High Needs Block re</w:t>
      </w:r>
      <w:r w:rsidR="00420DD5" w:rsidRPr="00420DD5">
        <w:rPr>
          <w:b/>
        </w:rPr>
        <w:t>sulting in a net deficit of £12.</w:t>
      </w:r>
      <w:r w:rsidRPr="00420DD5">
        <w:rPr>
          <w:b/>
        </w:rPr>
        <w:t>750m held in reserves as detailed in table 3.1</w:t>
      </w:r>
    </w:p>
    <w:p w14:paraId="6E6740BF" w14:textId="77777777" w:rsidR="00904A8D" w:rsidRPr="00420DD5" w:rsidRDefault="00904A8D">
      <w:pPr>
        <w:pStyle w:val="Header"/>
        <w:tabs>
          <w:tab w:val="clear" w:pos="4153"/>
          <w:tab w:val="clear" w:pos="8306"/>
        </w:tabs>
        <w:rPr>
          <w:b/>
        </w:rPr>
      </w:pPr>
    </w:p>
    <w:p w14:paraId="6E6740C0" w14:textId="77777777" w:rsidR="00904A8D" w:rsidRPr="00420DD5" w:rsidRDefault="00904A8D">
      <w:pPr>
        <w:pStyle w:val="Header"/>
        <w:numPr>
          <w:ilvl w:val="0"/>
          <w:numId w:val="3"/>
        </w:numPr>
        <w:tabs>
          <w:tab w:val="clear" w:pos="360"/>
          <w:tab w:val="clear" w:pos="4153"/>
          <w:tab w:val="clear" w:pos="8306"/>
        </w:tabs>
        <w:ind w:left="720" w:hanging="720"/>
        <w:rPr>
          <w:b/>
          <w:sz w:val="28"/>
        </w:rPr>
      </w:pPr>
      <w:r w:rsidRPr="00420DD5">
        <w:rPr>
          <w:b/>
          <w:sz w:val="28"/>
        </w:rPr>
        <w:t>Purpose of report and executive summary</w:t>
      </w:r>
    </w:p>
    <w:p w14:paraId="6E6740C1" w14:textId="77777777" w:rsidR="00904A8D" w:rsidRPr="00420DD5" w:rsidRDefault="00904A8D">
      <w:pPr>
        <w:pStyle w:val="Header"/>
        <w:tabs>
          <w:tab w:val="clear" w:pos="4153"/>
          <w:tab w:val="clear" w:pos="8306"/>
        </w:tabs>
        <w:rPr>
          <w:b/>
          <w:sz w:val="28"/>
          <w:highlight w:val="yellow"/>
        </w:rPr>
      </w:pPr>
    </w:p>
    <w:p w14:paraId="6E6740C2" w14:textId="099D9570" w:rsidR="00F4301A" w:rsidRPr="00420DD5" w:rsidRDefault="00904A8D" w:rsidP="0048394B">
      <w:pPr>
        <w:pStyle w:val="BodyTextIndent3"/>
        <w:ind w:hanging="720"/>
        <w:jc w:val="both"/>
        <w:rPr>
          <w:sz w:val="24"/>
          <w:szCs w:val="24"/>
        </w:rPr>
      </w:pPr>
      <w:r w:rsidRPr="00420DD5">
        <w:t>1.1</w:t>
      </w:r>
      <w:r w:rsidRPr="00420DD5">
        <w:tab/>
      </w:r>
      <w:r w:rsidR="00C871AB" w:rsidRPr="00420DD5">
        <w:rPr>
          <w:rFonts w:cs="Times New Roman"/>
          <w:sz w:val="24"/>
          <w:szCs w:val="24"/>
        </w:rPr>
        <w:t>Detailed analysis of budget</w:t>
      </w:r>
      <w:r w:rsidR="00D82BA1" w:rsidRPr="00420DD5">
        <w:rPr>
          <w:rFonts w:cs="Times New Roman"/>
          <w:sz w:val="24"/>
          <w:szCs w:val="24"/>
        </w:rPr>
        <w:t xml:space="preserve">s as at the end of </w:t>
      </w:r>
      <w:r w:rsidR="00420DD5" w:rsidRPr="00420DD5">
        <w:rPr>
          <w:rFonts w:cs="Times New Roman"/>
          <w:sz w:val="24"/>
          <w:szCs w:val="24"/>
        </w:rPr>
        <w:t>March</w:t>
      </w:r>
      <w:r w:rsidR="00D82BA1" w:rsidRPr="00420DD5">
        <w:rPr>
          <w:rFonts w:cs="Times New Roman"/>
          <w:sz w:val="24"/>
          <w:szCs w:val="24"/>
        </w:rPr>
        <w:t xml:space="preserve"> 2</w:t>
      </w:r>
      <w:r w:rsidR="005C145A" w:rsidRPr="00420DD5">
        <w:rPr>
          <w:rFonts w:cs="Times New Roman"/>
          <w:sz w:val="24"/>
          <w:szCs w:val="24"/>
        </w:rPr>
        <w:t>020</w:t>
      </w:r>
      <w:r w:rsidR="00C871AB" w:rsidRPr="00420DD5">
        <w:rPr>
          <w:rFonts w:cs="Times New Roman"/>
          <w:sz w:val="24"/>
          <w:szCs w:val="24"/>
        </w:rPr>
        <w:t xml:space="preserve"> by departmental budget managers show a number of over and underspends th</w:t>
      </w:r>
      <w:r w:rsidR="00420DD5" w:rsidRPr="00420DD5">
        <w:rPr>
          <w:rFonts w:cs="Times New Roman"/>
          <w:sz w:val="24"/>
          <w:szCs w:val="24"/>
        </w:rPr>
        <w:t>at combine to an overall</w:t>
      </w:r>
      <w:r w:rsidR="00B546F6" w:rsidRPr="00420DD5">
        <w:rPr>
          <w:rFonts w:cs="Times New Roman"/>
          <w:sz w:val="24"/>
          <w:szCs w:val="24"/>
        </w:rPr>
        <w:t xml:space="preserve"> over</w:t>
      </w:r>
      <w:r w:rsidR="00F65D9A" w:rsidRPr="00420DD5">
        <w:rPr>
          <w:rFonts w:cs="Times New Roman"/>
          <w:sz w:val="24"/>
          <w:szCs w:val="24"/>
        </w:rPr>
        <w:t>spend of £</w:t>
      </w:r>
      <w:r w:rsidR="00420DD5" w:rsidRPr="00420DD5">
        <w:rPr>
          <w:rFonts w:cs="Times New Roman"/>
          <w:sz w:val="24"/>
          <w:szCs w:val="24"/>
        </w:rPr>
        <w:t>9</w:t>
      </w:r>
      <w:r w:rsidR="00BC6C74" w:rsidRPr="00420DD5">
        <w:rPr>
          <w:rFonts w:cs="Times New Roman"/>
          <w:sz w:val="24"/>
          <w:szCs w:val="24"/>
        </w:rPr>
        <w:t>.</w:t>
      </w:r>
      <w:r w:rsidR="00420DD5" w:rsidRPr="00420DD5">
        <w:rPr>
          <w:rFonts w:cs="Times New Roman"/>
          <w:sz w:val="24"/>
          <w:szCs w:val="24"/>
        </w:rPr>
        <w:t>822</w:t>
      </w:r>
      <w:r w:rsidR="00A26786" w:rsidRPr="00420DD5">
        <w:rPr>
          <w:rFonts w:cs="Times New Roman"/>
          <w:sz w:val="24"/>
          <w:szCs w:val="24"/>
        </w:rPr>
        <w:t>m</w:t>
      </w:r>
      <w:r w:rsidR="00C871AB" w:rsidRPr="00420DD5">
        <w:rPr>
          <w:rFonts w:cs="Times New Roman"/>
          <w:sz w:val="24"/>
          <w:szCs w:val="24"/>
        </w:rPr>
        <w:t xml:space="preserve"> as per the table</w:t>
      </w:r>
      <w:r w:rsidR="00CC1850" w:rsidRPr="00420DD5">
        <w:rPr>
          <w:rFonts w:cs="Times New Roman"/>
          <w:sz w:val="24"/>
          <w:szCs w:val="24"/>
        </w:rPr>
        <w:t>s</w:t>
      </w:r>
      <w:r w:rsidR="00C871AB" w:rsidRPr="00420DD5">
        <w:rPr>
          <w:rFonts w:cs="Times New Roman"/>
          <w:sz w:val="24"/>
          <w:szCs w:val="24"/>
        </w:rPr>
        <w:t xml:space="preserve"> below.</w:t>
      </w:r>
    </w:p>
    <w:p w14:paraId="6E6740C3" w14:textId="77777777" w:rsidR="00F4301A" w:rsidRPr="00420DD5" w:rsidRDefault="00F4301A" w:rsidP="00F4301A">
      <w:pPr>
        <w:pStyle w:val="BodyTextIndent3"/>
        <w:ind w:left="0"/>
        <w:jc w:val="both"/>
        <w:rPr>
          <w:sz w:val="24"/>
          <w:szCs w:val="24"/>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0"/>
        <w:gridCol w:w="1559"/>
        <w:gridCol w:w="1558"/>
        <w:gridCol w:w="1561"/>
      </w:tblGrid>
      <w:tr w:rsidR="009762DB" w:rsidRPr="00F523E8" w14:paraId="6E6740CD" w14:textId="77777777" w:rsidTr="00B762F5">
        <w:trPr>
          <w:cantSplit/>
        </w:trPr>
        <w:tc>
          <w:tcPr>
            <w:tcW w:w="4820" w:type="dxa"/>
            <w:vMerge w:val="restart"/>
            <w:tcBorders>
              <w:top w:val="single" w:sz="6" w:space="0" w:color="auto"/>
              <w:left w:val="single" w:sz="6" w:space="0" w:color="auto"/>
              <w:bottom w:val="single" w:sz="6" w:space="0" w:color="auto"/>
              <w:right w:val="single" w:sz="6" w:space="0" w:color="auto"/>
            </w:tcBorders>
            <w:shd w:val="clear" w:color="auto" w:fill="4F81BD" w:themeFill="accent1"/>
          </w:tcPr>
          <w:p w14:paraId="6E6740C4" w14:textId="77777777" w:rsidR="005D371C" w:rsidRPr="00F523E8" w:rsidRDefault="005D371C" w:rsidP="00904A8D">
            <w:pPr>
              <w:ind w:left="72"/>
              <w:rPr>
                <w:rFonts w:ascii="Arial" w:hAnsi="Arial" w:cs="Arial"/>
                <w:b/>
              </w:rPr>
            </w:pPr>
          </w:p>
          <w:p w14:paraId="6E6740C5" w14:textId="77777777" w:rsidR="005D371C" w:rsidRPr="00F523E8" w:rsidRDefault="005D371C" w:rsidP="00904A8D">
            <w:pPr>
              <w:ind w:left="72"/>
              <w:rPr>
                <w:rFonts w:ascii="Arial" w:hAnsi="Arial" w:cs="Arial"/>
                <w:b/>
              </w:rPr>
            </w:pPr>
          </w:p>
          <w:p w14:paraId="6E6740C6" w14:textId="77777777" w:rsidR="005D371C" w:rsidRPr="00F523E8" w:rsidRDefault="005D371C" w:rsidP="00904A8D">
            <w:pPr>
              <w:ind w:left="72"/>
              <w:rPr>
                <w:rFonts w:ascii="Arial" w:hAnsi="Arial" w:cs="Arial"/>
                <w:b/>
              </w:rPr>
            </w:pPr>
          </w:p>
          <w:p w14:paraId="6E6740C7" w14:textId="77777777" w:rsidR="009762DB" w:rsidRPr="00F523E8" w:rsidRDefault="009762DB" w:rsidP="00904A8D">
            <w:pPr>
              <w:ind w:left="72"/>
              <w:rPr>
                <w:rFonts w:ascii="Arial" w:hAnsi="Arial" w:cs="Arial"/>
                <w:b/>
              </w:rPr>
            </w:pPr>
            <w:r w:rsidRPr="00F523E8">
              <w:rPr>
                <w:rFonts w:ascii="Arial" w:hAnsi="Arial" w:cs="Arial"/>
                <w:b/>
              </w:rPr>
              <w:t>Dedicated Schools Grant</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tcPr>
          <w:p w14:paraId="6E6740C8" w14:textId="59D114DB" w:rsidR="009762DB" w:rsidRPr="00F523E8" w:rsidRDefault="00434CBA" w:rsidP="00D61E3B">
            <w:pPr>
              <w:jc w:val="center"/>
              <w:rPr>
                <w:rFonts w:ascii="Arial" w:hAnsi="Arial" w:cs="Arial"/>
                <w:b/>
              </w:rPr>
            </w:pPr>
            <w:r w:rsidRPr="00F523E8">
              <w:rPr>
                <w:rFonts w:ascii="Arial" w:hAnsi="Arial" w:cs="Arial"/>
                <w:b/>
              </w:rPr>
              <w:t>201</w:t>
            </w:r>
            <w:r w:rsidR="00BC6C74" w:rsidRPr="00F523E8">
              <w:rPr>
                <w:rFonts w:ascii="Arial" w:hAnsi="Arial" w:cs="Arial"/>
                <w:b/>
              </w:rPr>
              <w:t>9</w:t>
            </w:r>
            <w:r w:rsidRPr="00F523E8">
              <w:rPr>
                <w:rFonts w:ascii="Arial" w:hAnsi="Arial" w:cs="Arial"/>
                <w:b/>
              </w:rPr>
              <w:t>/</w:t>
            </w:r>
            <w:r w:rsidR="00BC6C74" w:rsidRPr="00F523E8">
              <w:rPr>
                <w:rFonts w:ascii="Arial" w:hAnsi="Arial" w:cs="Arial"/>
                <w:b/>
              </w:rPr>
              <w:t>20</w:t>
            </w:r>
          </w:p>
          <w:p w14:paraId="6E6740C9" w14:textId="77777777" w:rsidR="009762DB" w:rsidRPr="00F523E8" w:rsidRDefault="009762DB" w:rsidP="00D61E3B">
            <w:pPr>
              <w:jc w:val="center"/>
              <w:rPr>
                <w:rFonts w:ascii="Arial" w:hAnsi="Arial" w:cs="Arial"/>
                <w:b/>
              </w:rPr>
            </w:pPr>
            <w:r w:rsidRPr="00F523E8">
              <w:rPr>
                <w:rFonts w:ascii="Arial" w:hAnsi="Arial" w:cs="Arial"/>
                <w:b/>
              </w:rPr>
              <w:t>Current Budget</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tcPr>
          <w:p w14:paraId="6E6740CA" w14:textId="77777777" w:rsidR="009762DB" w:rsidRPr="00F523E8" w:rsidRDefault="009762DB" w:rsidP="00D61E3B">
            <w:pPr>
              <w:tabs>
                <w:tab w:val="left" w:pos="0"/>
              </w:tabs>
              <w:jc w:val="center"/>
              <w:rPr>
                <w:rFonts w:ascii="Arial" w:hAnsi="Arial" w:cs="Arial"/>
                <w:b/>
              </w:rPr>
            </w:pPr>
            <w:r w:rsidRPr="00F523E8">
              <w:rPr>
                <w:rFonts w:ascii="Arial" w:hAnsi="Arial" w:cs="Arial"/>
                <w:b/>
              </w:rPr>
              <w:t>Full year Forecast</w:t>
            </w:r>
          </w:p>
          <w:p w14:paraId="6E6740CB" w14:textId="3C058ED7" w:rsidR="009762DB" w:rsidRPr="00F523E8" w:rsidRDefault="00434CBA" w:rsidP="00F716DF">
            <w:pPr>
              <w:tabs>
                <w:tab w:val="left" w:pos="0"/>
                <w:tab w:val="left" w:pos="72"/>
              </w:tabs>
              <w:ind w:left="72" w:hanging="72"/>
              <w:jc w:val="center"/>
              <w:rPr>
                <w:rFonts w:ascii="Arial" w:hAnsi="Arial" w:cs="Arial"/>
                <w:b/>
              </w:rPr>
            </w:pPr>
            <w:r w:rsidRPr="00F523E8">
              <w:rPr>
                <w:rFonts w:ascii="Arial" w:hAnsi="Arial" w:cs="Arial"/>
                <w:b/>
              </w:rPr>
              <w:t xml:space="preserve">(as at </w:t>
            </w:r>
            <w:r w:rsidR="00F716DF" w:rsidRPr="00F523E8">
              <w:rPr>
                <w:rFonts w:ascii="Arial" w:hAnsi="Arial" w:cs="Arial"/>
                <w:b/>
              </w:rPr>
              <w:t>Feb</w:t>
            </w:r>
            <w:r w:rsidR="009762DB" w:rsidRPr="00F523E8">
              <w:rPr>
                <w:rFonts w:ascii="Arial" w:hAnsi="Arial" w:cs="Arial"/>
                <w:b/>
              </w:rPr>
              <w:t>)</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tcPr>
          <w:p w14:paraId="6E6740CC" w14:textId="77777777" w:rsidR="009762DB" w:rsidRPr="00F523E8" w:rsidRDefault="009762DB" w:rsidP="00D61E3B">
            <w:pPr>
              <w:jc w:val="center"/>
              <w:rPr>
                <w:rFonts w:ascii="Arial" w:hAnsi="Arial" w:cs="Arial"/>
                <w:b/>
              </w:rPr>
            </w:pPr>
            <w:r w:rsidRPr="00F523E8">
              <w:rPr>
                <w:rFonts w:ascii="Arial" w:hAnsi="Arial" w:cs="Arial"/>
                <w:b/>
              </w:rPr>
              <w:t>Forecast Variance at year</w:t>
            </w:r>
            <w:r w:rsidR="00D61E3B" w:rsidRPr="00F523E8">
              <w:rPr>
                <w:rFonts w:ascii="Arial" w:hAnsi="Arial" w:cs="Arial"/>
                <w:b/>
              </w:rPr>
              <w:t>-</w:t>
            </w:r>
            <w:r w:rsidRPr="00F523E8">
              <w:rPr>
                <w:rFonts w:ascii="Arial" w:hAnsi="Arial" w:cs="Arial"/>
                <w:b/>
              </w:rPr>
              <w:t>end</w:t>
            </w:r>
          </w:p>
        </w:tc>
      </w:tr>
      <w:tr w:rsidR="009762DB" w:rsidRPr="00F523E8" w14:paraId="6E6740D2" w14:textId="77777777" w:rsidTr="00B762F5">
        <w:trPr>
          <w:cantSplit/>
        </w:trPr>
        <w:tc>
          <w:tcPr>
            <w:tcW w:w="4820" w:type="dxa"/>
            <w:vMerge/>
            <w:tcBorders>
              <w:top w:val="single" w:sz="6" w:space="0" w:color="auto"/>
              <w:left w:val="single" w:sz="6" w:space="0" w:color="auto"/>
              <w:bottom w:val="single" w:sz="6" w:space="0" w:color="auto"/>
              <w:right w:val="single" w:sz="6" w:space="0" w:color="auto"/>
            </w:tcBorders>
            <w:shd w:val="clear" w:color="auto" w:fill="4F81BD" w:themeFill="accent1"/>
          </w:tcPr>
          <w:p w14:paraId="6E6740CE" w14:textId="77777777" w:rsidR="009762DB" w:rsidRPr="00F523E8" w:rsidRDefault="009762DB" w:rsidP="00904A8D">
            <w:pPr>
              <w:pStyle w:val="Header"/>
              <w:tabs>
                <w:tab w:val="clear" w:pos="4153"/>
                <w:tab w:val="clear" w:pos="8306"/>
              </w:tabs>
              <w:ind w:left="72"/>
              <w:rPr>
                <w:rFonts w:cs="Arial"/>
                <w:bCs/>
              </w:rPr>
            </w:pP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14:paraId="6E6740CF" w14:textId="2D9379A5" w:rsidR="009762DB" w:rsidRPr="00F523E8" w:rsidRDefault="009762DB" w:rsidP="00D61E3B">
            <w:pPr>
              <w:jc w:val="center"/>
              <w:rPr>
                <w:rFonts w:ascii="Arial" w:hAnsi="Arial" w:cs="Arial"/>
              </w:rPr>
            </w:pPr>
            <w:r w:rsidRPr="00F523E8">
              <w:rPr>
                <w:rFonts w:ascii="Arial" w:hAnsi="Arial" w:cs="Arial"/>
                <w:b/>
              </w:rPr>
              <w:t>£</w:t>
            </w:r>
            <w:r w:rsidR="007A76CE">
              <w:rPr>
                <w:rFonts w:ascii="Arial" w:hAnsi="Arial" w:cs="Arial"/>
                <w:b/>
              </w:rPr>
              <w:t>’</w:t>
            </w:r>
            <w:r w:rsidRPr="00F523E8">
              <w:rPr>
                <w:rFonts w:ascii="Arial" w:hAnsi="Arial" w:cs="Arial"/>
                <w:b/>
              </w:rPr>
              <w:t>000</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14:paraId="6E6740D0" w14:textId="7759AD6B" w:rsidR="009762DB" w:rsidRPr="00F523E8" w:rsidRDefault="009762DB" w:rsidP="00D61E3B">
            <w:pPr>
              <w:jc w:val="center"/>
              <w:rPr>
                <w:rFonts w:ascii="Arial" w:hAnsi="Arial" w:cs="Arial"/>
              </w:rPr>
            </w:pPr>
            <w:r w:rsidRPr="00F523E8">
              <w:rPr>
                <w:rFonts w:ascii="Arial" w:hAnsi="Arial" w:cs="Arial"/>
                <w:b/>
              </w:rPr>
              <w:t>£</w:t>
            </w:r>
            <w:r w:rsidR="007A76CE">
              <w:rPr>
                <w:rFonts w:ascii="Arial" w:hAnsi="Arial" w:cs="Arial"/>
                <w:b/>
              </w:rPr>
              <w:t>’</w:t>
            </w:r>
            <w:r w:rsidRPr="00F523E8">
              <w:rPr>
                <w:rFonts w:ascii="Arial" w:hAnsi="Arial" w:cs="Arial"/>
                <w:b/>
              </w:rPr>
              <w:t>000</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14:paraId="6E6740D1" w14:textId="032E5DFC" w:rsidR="009762DB" w:rsidRPr="00F523E8" w:rsidRDefault="009762DB" w:rsidP="00D61E3B">
            <w:pPr>
              <w:jc w:val="center"/>
              <w:rPr>
                <w:rFonts w:ascii="Arial" w:hAnsi="Arial" w:cs="Arial"/>
              </w:rPr>
            </w:pPr>
            <w:r w:rsidRPr="00F523E8">
              <w:rPr>
                <w:rFonts w:ascii="Arial" w:hAnsi="Arial" w:cs="Arial"/>
                <w:b/>
              </w:rPr>
              <w:t>£</w:t>
            </w:r>
            <w:r w:rsidR="007A76CE">
              <w:rPr>
                <w:rFonts w:ascii="Arial" w:hAnsi="Arial" w:cs="Arial"/>
                <w:b/>
              </w:rPr>
              <w:t>’</w:t>
            </w:r>
            <w:r w:rsidRPr="00F523E8">
              <w:rPr>
                <w:rFonts w:ascii="Arial" w:hAnsi="Arial" w:cs="Arial"/>
                <w:b/>
              </w:rPr>
              <w:t>000</w:t>
            </w:r>
          </w:p>
        </w:tc>
      </w:tr>
      <w:tr w:rsidR="009762DB" w:rsidRPr="007A76CE" w14:paraId="6E6740D7" w14:textId="77777777" w:rsidTr="00B762F5">
        <w:tc>
          <w:tcPr>
            <w:tcW w:w="4820" w:type="dxa"/>
            <w:tcBorders>
              <w:top w:val="single" w:sz="6" w:space="0" w:color="auto"/>
            </w:tcBorders>
          </w:tcPr>
          <w:p w14:paraId="6E6740D3" w14:textId="77777777" w:rsidR="009762DB" w:rsidRPr="007A76CE" w:rsidRDefault="009762DB" w:rsidP="005427CD">
            <w:pPr>
              <w:pStyle w:val="Header"/>
              <w:tabs>
                <w:tab w:val="clear" w:pos="4153"/>
                <w:tab w:val="clear" w:pos="8306"/>
              </w:tabs>
              <w:rPr>
                <w:rFonts w:cs="Arial"/>
                <w:bCs/>
              </w:rPr>
            </w:pPr>
            <w:r w:rsidRPr="007A76CE">
              <w:rPr>
                <w:rFonts w:cs="Arial"/>
                <w:bCs/>
              </w:rPr>
              <w:t xml:space="preserve">Delegated </w:t>
            </w:r>
            <w:r w:rsidR="005427CD" w:rsidRPr="007A76CE">
              <w:rPr>
                <w:rFonts w:cs="Arial"/>
                <w:bCs/>
              </w:rPr>
              <w:t>expenditure</w:t>
            </w:r>
          </w:p>
        </w:tc>
        <w:tc>
          <w:tcPr>
            <w:tcW w:w="1559" w:type="dxa"/>
            <w:tcBorders>
              <w:top w:val="single" w:sz="6" w:space="0" w:color="auto"/>
            </w:tcBorders>
            <w:vAlign w:val="bottom"/>
          </w:tcPr>
          <w:p w14:paraId="6E6740D4" w14:textId="7CB2BFBC" w:rsidR="009762DB" w:rsidRPr="007A76CE" w:rsidRDefault="004B584D" w:rsidP="007A76CE">
            <w:pPr>
              <w:jc w:val="right"/>
              <w:rPr>
                <w:rFonts w:ascii="Arial" w:hAnsi="Arial" w:cs="Arial"/>
              </w:rPr>
            </w:pPr>
            <w:r w:rsidRPr="007A76CE">
              <w:rPr>
                <w:rFonts w:ascii="Arial" w:hAnsi="Arial" w:cs="Arial"/>
              </w:rPr>
              <w:t>1</w:t>
            </w:r>
            <w:r w:rsidR="00BB2FF0" w:rsidRPr="007A76CE">
              <w:rPr>
                <w:rFonts w:ascii="Arial" w:hAnsi="Arial" w:cs="Arial"/>
              </w:rPr>
              <w:t>26</w:t>
            </w:r>
            <w:r w:rsidR="00EC17FC" w:rsidRPr="007A76CE">
              <w:rPr>
                <w:rFonts w:ascii="Arial" w:hAnsi="Arial" w:cs="Arial"/>
              </w:rPr>
              <w:t>,</w:t>
            </w:r>
            <w:r w:rsidR="007A76CE" w:rsidRPr="007A76CE">
              <w:rPr>
                <w:rFonts w:ascii="Arial" w:hAnsi="Arial" w:cs="Arial"/>
              </w:rPr>
              <w:t>835</w:t>
            </w:r>
          </w:p>
        </w:tc>
        <w:tc>
          <w:tcPr>
            <w:tcW w:w="1558" w:type="dxa"/>
            <w:tcBorders>
              <w:top w:val="single" w:sz="6" w:space="0" w:color="auto"/>
            </w:tcBorders>
            <w:vAlign w:val="bottom"/>
          </w:tcPr>
          <w:p w14:paraId="6E6740D5" w14:textId="38E53DFE" w:rsidR="009762DB" w:rsidRPr="007A76CE" w:rsidRDefault="003C296D" w:rsidP="007A76CE">
            <w:pPr>
              <w:jc w:val="right"/>
              <w:rPr>
                <w:rFonts w:ascii="Arial" w:hAnsi="Arial" w:cs="Arial"/>
              </w:rPr>
            </w:pPr>
            <w:r w:rsidRPr="007A76CE">
              <w:rPr>
                <w:rFonts w:ascii="Arial" w:hAnsi="Arial" w:cs="Arial"/>
              </w:rPr>
              <w:t>1</w:t>
            </w:r>
            <w:r w:rsidR="00BB2FF0" w:rsidRPr="007A76CE">
              <w:rPr>
                <w:rFonts w:ascii="Arial" w:hAnsi="Arial" w:cs="Arial"/>
              </w:rPr>
              <w:t>2</w:t>
            </w:r>
            <w:r w:rsidR="007A76CE" w:rsidRPr="007A76CE">
              <w:rPr>
                <w:rFonts w:ascii="Arial" w:hAnsi="Arial" w:cs="Arial"/>
              </w:rPr>
              <w:t>6</w:t>
            </w:r>
            <w:r w:rsidR="00BB2FF0" w:rsidRPr="007A76CE">
              <w:rPr>
                <w:rFonts w:ascii="Arial" w:hAnsi="Arial" w:cs="Arial"/>
              </w:rPr>
              <w:t>,</w:t>
            </w:r>
            <w:r w:rsidR="007A76CE" w:rsidRPr="007A76CE">
              <w:rPr>
                <w:rFonts w:ascii="Arial" w:hAnsi="Arial" w:cs="Arial"/>
              </w:rPr>
              <w:t>851</w:t>
            </w:r>
          </w:p>
        </w:tc>
        <w:tc>
          <w:tcPr>
            <w:tcW w:w="1561" w:type="dxa"/>
            <w:tcBorders>
              <w:top w:val="single" w:sz="6" w:space="0" w:color="auto"/>
            </w:tcBorders>
            <w:vAlign w:val="bottom"/>
          </w:tcPr>
          <w:p w14:paraId="6E6740D6" w14:textId="191BA485" w:rsidR="009762DB" w:rsidRPr="007A76CE" w:rsidRDefault="007A76CE" w:rsidP="007A76CE">
            <w:pPr>
              <w:jc w:val="right"/>
              <w:rPr>
                <w:rFonts w:ascii="Arial" w:hAnsi="Arial" w:cs="Arial"/>
              </w:rPr>
            </w:pPr>
            <w:r w:rsidRPr="007A76CE">
              <w:rPr>
                <w:rFonts w:ascii="Arial" w:hAnsi="Arial" w:cs="Arial"/>
              </w:rPr>
              <w:t>16</w:t>
            </w:r>
          </w:p>
        </w:tc>
      </w:tr>
      <w:tr w:rsidR="009762DB" w:rsidRPr="007A76CE" w14:paraId="6E6740DC" w14:textId="77777777" w:rsidTr="005068B4">
        <w:tc>
          <w:tcPr>
            <w:tcW w:w="4820" w:type="dxa"/>
          </w:tcPr>
          <w:p w14:paraId="6E6740D8" w14:textId="77777777" w:rsidR="009762DB" w:rsidRPr="007A76CE" w:rsidRDefault="009762DB" w:rsidP="00F4301A">
            <w:pPr>
              <w:pStyle w:val="Header"/>
              <w:tabs>
                <w:tab w:val="clear" w:pos="4153"/>
                <w:tab w:val="clear" w:pos="8306"/>
              </w:tabs>
              <w:rPr>
                <w:rFonts w:cs="Arial"/>
                <w:bCs/>
              </w:rPr>
            </w:pPr>
            <w:r w:rsidRPr="007A76CE">
              <w:rPr>
                <w:rFonts w:cs="Arial"/>
                <w:bCs/>
              </w:rPr>
              <w:t>Retained Items</w:t>
            </w:r>
          </w:p>
        </w:tc>
        <w:tc>
          <w:tcPr>
            <w:tcW w:w="1559" w:type="dxa"/>
            <w:vAlign w:val="bottom"/>
          </w:tcPr>
          <w:p w14:paraId="6E6740D9" w14:textId="34F4199E" w:rsidR="009762DB" w:rsidRPr="007A76CE" w:rsidRDefault="004B584D" w:rsidP="00EC17FC">
            <w:pPr>
              <w:jc w:val="right"/>
              <w:rPr>
                <w:rFonts w:ascii="Arial" w:hAnsi="Arial" w:cs="Arial"/>
              </w:rPr>
            </w:pPr>
            <w:r w:rsidRPr="007A76CE">
              <w:rPr>
                <w:rFonts w:ascii="Arial" w:hAnsi="Arial" w:cs="Arial"/>
              </w:rPr>
              <w:t>2</w:t>
            </w:r>
            <w:r w:rsidR="00BB2FF0" w:rsidRPr="007A76CE">
              <w:rPr>
                <w:rFonts w:ascii="Arial" w:hAnsi="Arial" w:cs="Arial"/>
              </w:rPr>
              <w:t>1,</w:t>
            </w:r>
            <w:r w:rsidR="007A76CE" w:rsidRPr="007A76CE">
              <w:rPr>
                <w:rFonts w:ascii="Arial" w:hAnsi="Arial" w:cs="Arial"/>
              </w:rPr>
              <w:t>155</w:t>
            </w:r>
          </w:p>
        </w:tc>
        <w:tc>
          <w:tcPr>
            <w:tcW w:w="1558" w:type="dxa"/>
            <w:shd w:val="clear" w:color="auto" w:fill="auto"/>
            <w:vAlign w:val="bottom"/>
          </w:tcPr>
          <w:p w14:paraId="6E6740DA" w14:textId="22388D7B" w:rsidR="009762DB" w:rsidRPr="007A76CE" w:rsidRDefault="005068B4" w:rsidP="005068B4">
            <w:pPr>
              <w:jc w:val="right"/>
              <w:rPr>
                <w:rFonts w:ascii="Arial" w:hAnsi="Arial" w:cs="Arial"/>
              </w:rPr>
            </w:pPr>
            <w:r w:rsidRPr="007A76CE">
              <w:rPr>
                <w:rFonts w:ascii="Arial" w:hAnsi="Arial" w:cs="Arial"/>
              </w:rPr>
              <w:t>3</w:t>
            </w:r>
            <w:r w:rsidR="007A76CE" w:rsidRPr="007A76CE">
              <w:rPr>
                <w:rFonts w:ascii="Arial" w:hAnsi="Arial" w:cs="Arial"/>
              </w:rPr>
              <w:t>0,961</w:t>
            </w:r>
          </w:p>
        </w:tc>
        <w:tc>
          <w:tcPr>
            <w:tcW w:w="1561" w:type="dxa"/>
            <w:vAlign w:val="bottom"/>
          </w:tcPr>
          <w:p w14:paraId="6E6740DB" w14:textId="1FC0E8E7" w:rsidR="009762DB" w:rsidRPr="007A76CE" w:rsidRDefault="007A76CE" w:rsidP="007A76CE">
            <w:pPr>
              <w:jc w:val="right"/>
              <w:rPr>
                <w:rFonts w:ascii="Arial" w:hAnsi="Arial" w:cs="Arial"/>
              </w:rPr>
            </w:pPr>
            <w:r w:rsidRPr="007A76CE">
              <w:rPr>
                <w:rFonts w:ascii="Arial" w:hAnsi="Arial" w:cs="Arial"/>
              </w:rPr>
              <w:t>9,806</w:t>
            </w:r>
          </w:p>
        </w:tc>
      </w:tr>
      <w:tr w:rsidR="009762DB" w:rsidRPr="007A76CE" w14:paraId="6E6740E1" w14:textId="77777777" w:rsidTr="005068B4">
        <w:tc>
          <w:tcPr>
            <w:tcW w:w="4820" w:type="dxa"/>
            <w:tcBorders>
              <w:bottom w:val="single" w:sz="6" w:space="0" w:color="auto"/>
            </w:tcBorders>
          </w:tcPr>
          <w:p w14:paraId="6E6740DD" w14:textId="77777777" w:rsidR="009762DB" w:rsidRPr="007A76CE" w:rsidRDefault="005427CD" w:rsidP="005427CD">
            <w:pPr>
              <w:pStyle w:val="Header"/>
              <w:tabs>
                <w:tab w:val="clear" w:pos="4153"/>
                <w:tab w:val="clear" w:pos="8306"/>
              </w:tabs>
              <w:rPr>
                <w:rFonts w:cs="Arial"/>
              </w:rPr>
            </w:pPr>
            <w:r w:rsidRPr="007A76CE">
              <w:rPr>
                <w:rFonts w:cs="Arial"/>
              </w:rPr>
              <w:t>Income</w:t>
            </w:r>
          </w:p>
        </w:tc>
        <w:tc>
          <w:tcPr>
            <w:tcW w:w="1559" w:type="dxa"/>
            <w:tcBorders>
              <w:bottom w:val="single" w:sz="6" w:space="0" w:color="auto"/>
            </w:tcBorders>
            <w:vAlign w:val="bottom"/>
          </w:tcPr>
          <w:p w14:paraId="6E6740DE" w14:textId="72A06E63" w:rsidR="009762DB" w:rsidRPr="007A76CE" w:rsidRDefault="00607485" w:rsidP="00BB2FF0">
            <w:pPr>
              <w:jc w:val="right"/>
              <w:rPr>
                <w:rFonts w:ascii="Arial" w:hAnsi="Arial" w:cs="Arial"/>
              </w:rPr>
            </w:pPr>
            <w:r w:rsidRPr="007A76CE">
              <w:rPr>
                <w:rFonts w:ascii="Arial" w:hAnsi="Arial" w:cs="Arial"/>
              </w:rPr>
              <w:t>(</w:t>
            </w:r>
            <w:r w:rsidR="00BB2FF0" w:rsidRPr="007A76CE">
              <w:rPr>
                <w:rFonts w:ascii="Arial" w:hAnsi="Arial" w:cs="Arial"/>
              </w:rPr>
              <w:t>147</w:t>
            </w:r>
            <w:r w:rsidR="00D46748" w:rsidRPr="007A76CE">
              <w:rPr>
                <w:rFonts w:ascii="Arial" w:hAnsi="Arial" w:cs="Arial"/>
              </w:rPr>
              <w:t>,</w:t>
            </w:r>
            <w:r w:rsidR="00BB2FF0" w:rsidRPr="007A76CE">
              <w:rPr>
                <w:rFonts w:ascii="Arial" w:hAnsi="Arial" w:cs="Arial"/>
              </w:rPr>
              <w:t>990</w:t>
            </w:r>
            <w:r w:rsidRPr="007A76CE">
              <w:rPr>
                <w:rFonts w:ascii="Arial" w:hAnsi="Arial" w:cs="Arial"/>
              </w:rPr>
              <w:t>)</w:t>
            </w:r>
          </w:p>
        </w:tc>
        <w:tc>
          <w:tcPr>
            <w:tcW w:w="1558" w:type="dxa"/>
            <w:tcBorders>
              <w:bottom w:val="single" w:sz="6" w:space="0" w:color="auto"/>
            </w:tcBorders>
            <w:shd w:val="clear" w:color="auto" w:fill="auto"/>
            <w:vAlign w:val="bottom"/>
          </w:tcPr>
          <w:p w14:paraId="6E6740DF" w14:textId="020FC6BF" w:rsidR="009762DB" w:rsidRPr="007A76CE" w:rsidRDefault="00607485" w:rsidP="00BB2FF0">
            <w:pPr>
              <w:jc w:val="right"/>
              <w:rPr>
                <w:rFonts w:ascii="Arial" w:hAnsi="Arial" w:cs="Arial"/>
              </w:rPr>
            </w:pPr>
            <w:r w:rsidRPr="007A76CE">
              <w:rPr>
                <w:rFonts w:ascii="Arial" w:hAnsi="Arial" w:cs="Arial"/>
              </w:rPr>
              <w:t>(</w:t>
            </w:r>
            <w:r w:rsidR="005B6731" w:rsidRPr="007A76CE">
              <w:rPr>
                <w:rFonts w:ascii="Arial" w:hAnsi="Arial" w:cs="Arial"/>
              </w:rPr>
              <w:t>1</w:t>
            </w:r>
            <w:r w:rsidR="00BB2FF0" w:rsidRPr="007A76CE">
              <w:rPr>
                <w:rFonts w:ascii="Arial" w:hAnsi="Arial" w:cs="Arial"/>
              </w:rPr>
              <w:t>47</w:t>
            </w:r>
            <w:r w:rsidR="005B6731" w:rsidRPr="007A76CE">
              <w:rPr>
                <w:rFonts w:ascii="Arial" w:hAnsi="Arial" w:cs="Arial"/>
              </w:rPr>
              <w:t>,</w:t>
            </w:r>
            <w:r w:rsidR="00BB2FF0" w:rsidRPr="007A76CE">
              <w:rPr>
                <w:rFonts w:ascii="Arial" w:hAnsi="Arial" w:cs="Arial"/>
              </w:rPr>
              <w:t>990</w:t>
            </w:r>
            <w:r w:rsidRPr="007A76CE">
              <w:rPr>
                <w:rFonts w:ascii="Arial" w:hAnsi="Arial" w:cs="Arial"/>
              </w:rPr>
              <w:t>)</w:t>
            </w:r>
          </w:p>
        </w:tc>
        <w:tc>
          <w:tcPr>
            <w:tcW w:w="1561" w:type="dxa"/>
            <w:tcBorders>
              <w:bottom w:val="single" w:sz="6" w:space="0" w:color="auto"/>
            </w:tcBorders>
            <w:vAlign w:val="bottom"/>
          </w:tcPr>
          <w:p w14:paraId="6E6740E0" w14:textId="477AED01" w:rsidR="009762DB" w:rsidRPr="007A76CE" w:rsidRDefault="00D46748" w:rsidP="00904A8D">
            <w:pPr>
              <w:jc w:val="right"/>
              <w:rPr>
                <w:rFonts w:ascii="Arial" w:hAnsi="Arial" w:cs="Arial"/>
              </w:rPr>
            </w:pPr>
            <w:r w:rsidRPr="007A76CE">
              <w:rPr>
                <w:rFonts w:ascii="Arial" w:hAnsi="Arial" w:cs="Arial"/>
              </w:rPr>
              <w:t>-</w:t>
            </w:r>
          </w:p>
        </w:tc>
      </w:tr>
      <w:tr w:rsidR="009762DB" w:rsidRPr="007A76CE" w14:paraId="6E6740E6" w14:textId="77777777" w:rsidTr="00B762F5">
        <w:tc>
          <w:tcPr>
            <w:tcW w:w="4820" w:type="dxa"/>
            <w:tcBorders>
              <w:top w:val="single" w:sz="6" w:space="0" w:color="auto"/>
              <w:left w:val="single" w:sz="6" w:space="0" w:color="auto"/>
              <w:bottom w:val="single" w:sz="6" w:space="0" w:color="auto"/>
              <w:right w:val="single" w:sz="6" w:space="0" w:color="auto"/>
            </w:tcBorders>
            <w:shd w:val="clear" w:color="auto" w:fill="4F81BD" w:themeFill="accent1"/>
          </w:tcPr>
          <w:p w14:paraId="6E6740E2" w14:textId="77777777" w:rsidR="009762DB" w:rsidRPr="007A76CE" w:rsidRDefault="009762DB" w:rsidP="005427CD">
            <w:pPr>
              <w:pStyle w:val="Header"/>
              <w:tabs>
                <w:tab w:val="clear" w:pos="4153"/>
                <w:tab w:val="clear" w:pos="8306"/>
              </w:tabs>
              <w:rPr>
                <w:rFonts w:cs="Arial"/>
                <w:b/>
              </w:rPr>
            </w:pPr>
            <w:r w:rsidRPr="007A76CE">
              <w:rPr>
                <w:rFonts w:cs="Arial"/>
                <w:b/>
              </w:rPr>
              <w:t xml:space="preserve">Total </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14:paraId="6E6740E3" w14:textId="08F9D01F" w:rsidR="009762DB" w:rsidRPr="007A76CE" w:rsidRDefault="005068B4" w:rsidP="00904A8D">
            <w:pPr>
              <w:jc w:val="right"/>
              <w:rPr>
                <w:rFonts w:ascii="Arial" w:hAnsi="Arial" w:cs="Arial"/>
                <w:b/>
              </w:rPr>
            </w:pPr>
            <w:r w:rsidRPr="007A76CE">
              <w:rPr>
                <w:rFonts w:ascii="Arial" w:hAnsi="Arial" w:cs="Arial"/>
                <w:b/>
              </w:rPr>
              <w:t>-</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14:paraId="6E6740E4" w14:textId="2160ABDD" w:rsidR="009762DB" w:rsidRPr="007A76CE" w:rsidRDefault="007A76CE" w:rsidP="005068B4">
            <w:pPr>
              <w:jc w:val="right"/>
              <w:rPr>
                <w:rFonts w:ascii="Arial" w:hAnsi="Arial" w:cs="Arial"/>
                <w:b/>
              </w:rPr>
            </w:pPr>
            <w:r w:rsidRPr="007A76CE">
              <w:rPr>
                <w:rFonts w:ascii="Arial" w:hAnsi="Arial" w:cs="Arial"/>
                <w:b/>
              </w:rPr>
              <w:t>9,822</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14:paraId="6E6740E5" w14:textId="5913E562" w:rsidR="009762DB" w:rsidRPr="007A76CE" w:rsidRDefault="007A76CE" w:rsidP="00216C52">
            <w:pPr>
              <w:jc w:val="right"/>
              <w:rPr>
                <w:rFonts w:ascii="Arial" w:hAnsi="Arial" w:cs="Arial"/>
                <w:b/>
              </w:rPr>
            </w:pPr>
            <w:r w:rsidRPr="007A76CE">
              <w:rPr>
                <w:rFonts w:ascii="Arial" w:hAnsi="Arial" w:cs="Arial"/>
                <w:b/>
              </w:rPr>
              <w:t>9,822</w:t>
            </w:r>
          </w:p>
        </w:tc>
      </w:tr>
    </w:tbl>
    <w:p w14:paraId="6E6740E7" w14:textId="77777777" w:rsidR="00F4301A" w:rsidRPr="00420DD5" w:rsidRDefault="00F4301A" w:rsidP="00F4301A">
      <w:pPr>
        <w:pStyle w:val="BodyTextIndent3"/>
        <w:ind w:left="0"/>
        <w:jc w:val="both"/>
        <w:rPr>
          <w:sz w:val="24"/>
          <w:szCs w:val="24"/>
          <w:highlight w:val="yellow"/>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1559"/>
        <w:gridCol w:w="1559"/>
        <w:gridCol w:w="1558"/>
        <w:gridCol w:w="1561"/>
      </w:tblGrid>
      <w:tr w:rsidR="005D371C" w:rsidRPr="00F523E8" w14:paraId="6E6740ED" w14:textId="77777777" w:rsidTr="00B762F5">
        <w:trPr>
          <w:cantSplit/>
        </w:trPr>
        <w:tc>
          <w:tcPr>
            <w:tcW w:w="3261" w:type="dxa"/>
            <w:vMerge w:val="restart"/>
            <w:tcBorders>
              <w:top w:val="single" w:sz="6" w:space="0" w:color="auto"/>
              <w:left w:val="single" w:sz="6" w:space="0" w:color="auto"/>
              <w:bottom w:val="single" w:sz="6" w:space="0" w:color="auto"/>
              <w:right w:val="single" w:sz="6" w:space="0" w:color="auto"/>
            </w:tcBorders>
            <w:shd w:val="clear" w:color="auto" w:fill="4F81BD" w:themeFill="accent1"/>
          </w:tcPr>
          <w:p w14:paraId="6E6740E8" w14:textId="77777777" w:rsidR="005D371C" w:rsidRPr="00F523E8" w:rsidRDefault="005D371C" w:rsidP="005C46BA">
            <w:pPr>
              <w:ind w:left="72"/>
              <w:rPr>
                <w:rFonts w:ascii="Arial" w:hAnsi="Arial" w:cs="Arial"/>
                <w:b/>
              </w:rPr>
            </w:pPr>
            <w:r w:rsidRPr="00F523E8">
              <w:rPr>
                <w:rFonts w:ascii="Arial" w:hAnsi="Arial" w:cs="Arial"/>
                <w:b/>
              </w:rPr>
              <w:t>Dedicated Schools Grant</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tcPr>
          <w:p w14:paraId="6E6740E9" w14:textId="77777777" w:rsidR="005D371C" w:rsidRPr="00F523E8" w:rsidRDefault="005D371C" w:rsidP="005C46BA">
            <w:pPr>
              <w:jc w:val="center"/>
              <w:rPr>
                <w:rFonts w:ascii="Arial" w:hAnsi="Arial" w:cs="Arial"/>
                <w:b/>
              </w:rPr>
            </w:pPr>
            <w:r w:rsidRPr="00F523E8">
              <w:rPr>
                <w:rFonts w:ascii="Arial" w:hAnsi="Arial" w:cs="Arial"/>
                <w:b/>
              </w:rPr>
              <w:t>Schools Block</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tcPr>
          <w:p w14:paraId="6E6740EA" w14:textId="77777777" w:rsidR="005D371C" w:rsidRPr="00F523E8" w:rsidRDefault="005D371C" w:rsidP="005C46BA">
            <w:pPr>
              <w:jc w:val="center"/>
              <w:rPr>
                <w:rFonts w:ascii="Arial" w:hAnsi="Arial" w:cs="Arial"/>
                <w:b/>
              </w:rPr>
            </w:pPr>
            <w:r w:rsidRPr="00F523E8">
              <w:rPr>
                <w:rFonts w:ascii="Arial" w:hAnsi="Arial" w:cs="Arial"/>
                <w:b/>
              </w:rPr>
              <w:t>High Needs Block</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tcPr>
          <w:p w14:paraId="6E6740EB" w14:textId="77777777" w:rsidR="005D371C" w:rsidRPr="00F523E8" w:rsidRDefault="005D371C" w:rsidP="005C46BA">
            <w:pPr>
              <w:tabs>
                <w:tab w:val="left" w:pos="0"/>
                <w:tab w:val="left" w:pos="72"/>
              </w:tabs>
              <w:ind w:left="72" w:hanging="72"/>
              <w:jc w:val="center"/>
              <w:rPr>
                <w:rFonts w:ascii="Arial" w:hAnsi="Arial" w:cs="Arial"/>
                <w:b/>
              </w:rPr>
            </w:pPr>
            <w:r w:rsidRPr="00F523E8">
              <w:rPr>
                <w:rFonts w:ascii="Arial" w:hAnsi="Arial" w:cs="Arial"/>
                <w:b/>
              </w:rPr>
              <w:t>Early Years Block</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tcPr>
          <w:p w14:paraId="6E6740EC" w14:textId="77777777" w:rsidR="005D371C" w:rsidRPr="00F523E8" w:rsidRDefault="005D371C" w:rsidP="005D371C">
            <w:pPr>
              <w:jc w:val="center"/>
              <w:rPr>
                <w:rFonts w:ascii="Arial" w:hAnsi="Arial" w:cs="Arial"/>
                <w:b/>
              </w:rPr>
            </w:pPr>
            <w:r w:rsidRPr="00F523E8">
              <w:rPr>
                <w:rFonts w:ascii="Arial" w:hAnsi="Arial" w:cs="Arial"/>
                <w:b/>
              </w:rPr>
              <w:t>Total all Blocks</w:t>
            </w:r>
          </w:p>
        </w:tc>
      </w:tr>
      <w:tr w:rsidR="005D371C" w:rsidRPr="00F523E8" w14:paraId="6E6740F3" w14:textId="77777777" w:rsidTr="00B762F5">
        <w:trPr>
          <w:cantSplit/>
        </w:trPr>
        <w:tc>
          <w:tcPr>
            <w:tcW w:w="3261" w:type="dxa"/>
            <w:vMerge/>
            <w:tcBorders>
              <w:top w:val="single" w:sz="6" w:space="0" w:color="auto"/>
              <w:left w:val="single" w:sz="6" w:space="0" w:color="auto"/>
              <w:bottom w:val="single" w:sz="6" w:space="0" w:color="auto"/>
              <w:right w:val="single" w:sz="6" w:space="0" w:color="auto"/>
            </w:tcBorders>
            <w:shd w:val="clear" w:color="auto" w:fill="4F81BD" w:themeFill="accent1"/>
          </w:tcPr>
          <w:p w14:paraId="6E6740EE" w14:textId="77777777" w:rsidR="005D371C" w:rsidRPr="00F523E8" w:rsidRDefault="005D371C" w:rsidP="005C46BA">
            <w:pPr>
              <w:pStyle w:val="Header"/>
              <w:tabs>
                <w:tab w:val="clear" w:pos="4153"/>
                <w:tab w:val="clear" w:pos="8306"/>
              </w:tabs>
              <w:ind w:left="72"/>
              <w:rPr>
                <w:rFonts w:cs="Arial"/>
                <w:bCs/>
              </w:rPr>
            </w:pP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14:paraId="6E6740EF" w14:textId="5BAA7A1A" w:rsidR="005D371C" w:rsidRPr="00F523E8" w:rsidRDefault="005D371C" w:rsidP="005C46BA">
            <w:pPr>
              <w:jc w:val="center"/>
              <w:rPr>
                <w:rFonts w:ascii="Arial" w:hAnsi="Arial" w:cs="Arial"/>
              </w:rPr>
            </w:pPr>
            <w:r w:rsidRPr="00F523E8">
              <w:rPr>
                <w:rFonts w:ascii="Arial" w:hAnsi="Arial" w:cs="Arial"/>
                <w:b/>
              </w:rPr>
              <w:t>£</w:t>
            </w:r>
            <w:r w:rsidR="007A76CE">
              <w:rPr>
                <w:rFonts w:ascii="Arial" w:hAnsi="Arial" w:cs="Arial"/>
                <w:b/>
              </w:rPr>
              <w:t>’</w:t>
            </w:r>
            <w:r w:rsidRPr="00F523E8">
              <w:rPr>
                <w:rFonts w:ascii="Arial" w:hAnsi="Arial" w:cs="Arial"/>
                <w:b/>
              </w:rPr>
              <w:t>000</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14:paraId="6E6740F0" w14:textId="290FCF94" w:rsidR="005D371C" w:rsidRPr="00F523E8" w:rsidRDefault="005D371C" w:rsidP="005C46BA">
            <w:pPr>
              <w:jc w:val="center"/>
              <w:rPr>
                <w:rFonts w:ascii="Arial" w:hAnsi="Arial" w:cs="Arial"/>
              </w:rPr>
            </w:pPr>
            <w:r w:rsidRPr="00F523E8">
              <w:rPr>
                <w:rFonts w:ascii="Arial" w:hAnsi="Arial" w:cs="Arial"/>
                <w:b/>
              </w:rPr>
              <w:t>£</w:t>
            </w:r>
            <w:r w:rsidR="007A76CE">
              <w:rPr>
                <w:rFonts w:ascii="Arial" w:hAnsi="Arial" w:cs="Arial"/>
                <w:b/>
              </w:rPr>
              <w:t>’</w:t>
            </w:r>
            <w:r w:rsidRPr="00F523E8">
              <w:rPr>
                <w:rFonts w:ascii="Arial" w:hAnsi="Arial" w:cs="Arial"/>
                <w:b/>
              </w:rPr>
              <w:t>000</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14:paraId="6E6740F1" w14:textId="0BDF311F" w:rsidR="005D371C" w:rsidRPr="00F523E8" w:rsidRDefault="005D371C" w:rsidP="005C46BA">
            <w:pPr>
              <w:jc w:val="center"/>
              <w:rPr>
                <w:rFonts w:ascii="Arial" w:hAnsi="Arial" w:cs="Arial"/>
              </w:rPr>
            </w:pPr>
            <w:r w:rsidRPr="00F523E8">
              <w:rPr>
                <w:rFonts w:ascii="Arial" w:hAnsi="Arial" w:cs="Arial"/>
                <w:b/>
              </w:rPr>
              <w:t>£</w:t>
            </w:r>
            <w:r w:rsidR="007A76CE">
              <w:rPr>
                <w:rFonts w:ascii="Arial" w:hAnsi="Arial" w:cs="Arial"/>
                <w:b/>
              </w:rPr>
              <w:t>’</w:t>
            </w:r>
            <w:r w:rsidRPr="00F523E8">
              <w:rPr>
                <w:rFonts w:ascii="Arial" w:hAnsi="Arial" w:cs="Arial"/>
                <w:b/>
              </w:rPr>
              <w:t>000</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14:paraId="6E6740F2" w14:textId="11912657" w:rsidR="005D371C" w:rsidRPr="00F523E8" w:rsidRDefault="005D371C" w:rsidP="005C46BA">
            <w:pPr>
              <w:jc w:val="center"/>
              <w:rPr>
                <w:rFonts w:ascii="Arial" w:hAnsi="Arial" w:cs="Arial"/>
              </w:rPr>
            </w:pPr>
            <w:r w:rsidRPr="00F523E8">
              <w:rPr>
                <w:rFonts w:ascii="Arial" w:hAnsi="Arial" w:cs="Arial"/>
                <w:b/>
              </w:rPr>
              <w:t>£</w:t>
            </w:r>
            <w:r w:rsidR="007A76CE">
              <w:rPr>
                <w:rFonts w:ascii="Arial" w:hAnsi="Arial" w:cs="Arial"/>
                <w:b/>
              </w:rPr>
              <w:t>’</w:t>
            </w:r>
            <w:r w:rsidRPr="00F523E8">
              <w:rPr>
                <w:rFonts w:ascii="Arial" w:hAnsi="Arial" w:cs="Arial"/>
                <w:b/>
              </w:rPr>
              <w:t>000</w:t>
            </w:r>
          </w:p>
        </w:tc>
      </w:tr>
      <w:tr w:rsidR="005D371C" w:rsidRPr="007A76CE" w14:paraId="6E6740F9" w14:textId="77777777" w:rsidTr="00B762F5">
        <w:tc>
          <w:tcPr>
            <w:tcW w:w="3261" w:type="dxa"/>
            <w:tcBorders>
              <w:top w:val="single" w:sz="6" w:space="0" w:color="auto"/>
            </w:tcBorders>
          </w:tcPr>
          <w:p w14:paraId="6E6740F4" w14:textId="77777777" w:rsidR="005D371C" w:rsidRPr="007A76CE" w:rsidRDefault="005D371C" w:rsidP="005C46BA">
            <w:pPr>
              <w:pStyle w:val="Header"/>
              <w:tabs>
                <w:tab w:val="clear" w:pos="4153"/>
                <w:tab w:val="clear" w:pos="8306"/>
              </w:tabs>
              <w:rPr>
                <w:rFonts w:cs="Arial"/>
                <w:bCs/>
              </w:rPr>
            </w:pPr>
            <w:r w:rsidRPr="007A76CE">
              <w:rPr>
                <w:rFonts w:cs="Arial"/>
                <w:bCs/>
              </w:rPr>
              <w:t>Delegated expenditure</w:t>
            </w:r>
          </w:p>
        </w:tc>
        <w:tc>
          <w:tcPr>
            <w:tcW w:w="1559" w:type="dxa"/>
            <w:tcBorders>
              <w:top w:val="single" w:sz="6" w:space="0" w:color="auto"/>
            </w:tcBorders>
            <w:vAlign w:val="bottom"/>
          </w:tcPr>
          <w:p w14:paraId="6E6740F5" w14:textId="4DCC1857" w:rsidR="005D371C" w:rsidRPr="007A76CE" w:rsidRDefault="00213F8C" w:rsidP="00213F8C">
            <w:pPr>
              <w:jc w:val="right"/>
              <w:rPr>
                <w:rFonts w:ascii="Arial" w:hAnsi="Arial" w:cs="Arial"/>
              </w:rPr>
            </w:pPr>
            <w:r w:rsidRPr="007A76CE">
              <w:rPr>
                <w:rFonts w:ascii="Arial" w:hAnsi="Arial" w:cs="Arial"/>
              </w:rPr>
              <w:t>(</w:t>
            </w:r>
            <w:r w:rsidR="007A76CE" w:rsidRPr="007A76CE">
              <w:rPr>
                <w:rFonts w:ascii="Arial" w:hAnsi="Arial" w:cs="Arial"/>
              </w:rPr>
              <w:t>34</w:t>
            </w:r>
            <w:r w:rsidRPr="007A76CE">
              <w:rPr>
                <w:rFonts w:ascii="Arial" w:hAnsi="Arial" w:cs="Arial"/>
              </w:rPr>
              <w:t>0</w:t>
            </w:r>
            <w:r w:rsidR="009554C6" w:rsidRPr="007A76CE">
              <w:rPr>
                <w:rFonts w:ascii="Arial" w:hAnsi="Arial" w:cs="Arial"/>
              </w:rPr>
              <w:t>)</w:t>
            </w:r>
          </w:p>
        </w:tc>
        <w:tc>
          <w:tcPr>
            <w:tcW w:w="1559" w:type="dxa"/>
            <w:tcBorders>
              <w:top w:val="single" w:sz="6" w:space="0" w:color="auto"/>
            </w:tcBorders>
            <w:vAlign w:val="bottom"/>
          </w:tcPr>
          <w:p w14:paraId="6E6740F6" w14:textId="124C68C0" w:rsidR="005D371C" w:rsidRPr="007A76CE" w:rsidRDefault="007A76CE" w:rsidP="007A76CE">
            <w:pPr>
              <w:jc w:val="right"/>
              <w:rPr>
                <w:rFonts w:ascii="Arial" w:hAnsi="Arial" w:cs="Arial"/>
              </w:rPr>
            </w:pPr>
            <w:r w:rsidRPr="007A76CE">
              <w:rPr>
                <w:rFonts w:ascii="Arial" w:hAnsi="Arial" w:cs="Arial"/>
              </w:rPr>
              <w:t>856</w:t>
            </w:r>
          </w:p>
        </w:tc>
        <w:tc>
          <w:tcPr>
            <w:tcW w:w="1558" w:type="dxa"/>
            <w:tcBorders>
              <w:top w:val="single" w:sz="6" w:space="0" w:color="auto"/>
            </w:tcBorders>
            <w:vAlign w:val="bottom"/>
          </w:tcPr>
          <w:p w14:paraId="6E6740F7" w14:textId="298D5C35" w:rsidR="005D371C" w:rsidRPr="007A76CE" w:rsidRDefault="009554C6" w:rsidP="00213F8C">
            <w:pPr>
              <w:jc w:val="right"/>
              <w:rPr>
                <w:rFonts w:ascii="Arial" w:hAnsi="Arial" w:cs="Arial"/>
              </w:rPr>
            </w:pPr>
            <w:r w:rsidRPr="007A76CE">
              <w:rPr>
                <w:rFonts w:ascii="Arial" w:hAnsi="Arial" w:cs="Arial"/>
              </w:rPr>
              <w:t>(</w:t>
            </w:r>
            <w:r w:rsidR="00213F8C" w:rsidRPr="007A76CE">
              <w:rPr>
                <w:rFonts w:ascii="Arial" w:hAnsi="Arial" w:cs="Arial"/>
              </w:rPr>
              <w:t>5</w:t>
            </w:r>
            <w:r w:rsidR="007A76CE" w:rsidRPr="007A76CE">
              <w:rPr>
                <w:rFonts w:ascii="Arial" w:hAnsi="Arial" w:cs="Arial"/>
              </w:rPr>
              <w:t>80</w:t>
            </w:r>
            <w:r w:rsidRPr="007A76CE">
              <w:rPr>
                <w:rFonts w:ascii="Arial" w:hAnsi="Arial" w:cs="Arial"/>
              </w:rPr>
              <w:t>)</w:t>
            </w:r>
          </w:p>
        </w:tc>
        <w:tc>
          <w:tcPr>
            <w:tcW w:w="1561" w:type="dxa"/>
            <w:tcBorders>
              <w:top w:val="single" w:sz="6" w:space="0" w:color="auto"/>
            </w:tcBorders>
            <w:vAlign w:val="bottom"/>
          </w:tcPr>
          <w:p w14:paraId="6E6740F8" w14:textId="355B5AAE" w:rsidR="005D371C" w:rsidRPr="007A76CE" w:rsidRDefault="007A76CE" w:rsidP="00216C52">
            <w:pPr>
              <w:jc w:val="right"/>
              <w:rPr>
                <w:rFonts w:ascii="Arial" w:hAnsi="Arial" w:cs="Arial"/>
              </w:rPr>
            </w:pPr>
            <w:r w:rsidRPr="007A76CE">
              <w:rPr>
                <w:rFonts w:ascii="Arial" w:hAnsi="Arial" w:cs="Arial"/>
              </w:rPr>
              <w:t>(6</w:t>
            </w:r>
            <w:r w:rsidR="00216C52" w:rsidRPr="007A76CE">
              <w:rPr>
                <w:rFonts w:ascii="Arial" w:hAnsi="Arial" w:cs="Arial"/>
              </w:rPr>
              <w:t>4</w:t>
            </w:r>
            <w:r w:rsidRPr="007A76CE">
              <w:rPr>
                <w:rFonts w:ascii="Arial" w:hAnsi="Arial" w:cs="Arial"/>
              </w:rPr>
              <w:t>)</w:t>
            </w:r>
          </w:p>
        </w:tc>
      </w:tr>
      <w:tr w:rsidR="000A481E" w:rsidRPr="007A76CE" w14:paraId="6E6740FF" w14:textId="77777777" w:rsidTr="00B762F5">
        <w:tc>
          <w:tcPr>
            <w:tcW w:w="3261" w:type="dxa"/>
            <w:tcBorders>
              <w:bottom w:val="single" w:sz="6" w:space="0" w:color="auto"/>
            </w:tcBorders>
          </w:tcPr>
          <w:p w14:paraId="6E6740FA" w14:textId="77777777" w:rsidR="000A481E" w:rsidRPr="007A76CE" w:rsidRDefault="000A481E" w:rsidP="005C46BA">
            <w:pPr>
              <w:pStyle w:val="Header"/>
              <w:tabs>
                <w:tab w:val="clear" w:pos="4153"/>
                <w:tab w:val="clear" w:pos="8306"/>
              </w:tabs>
              <w:rPr>
                <w:rFonts w:cs="Arial"/>
                <w:bCs/>
              </w:rPr>
            </w:pPr>
            <w:r w:rsidRPr="007A76CE">
              <w:rPr>
                <w:rFonts w:cs="Arial"/>
                <w:bCs/>
              </w:rPr>
              <w:t>Retained Items</w:t>
            </w:r>
          </w:p>
        </w:tc>
        <w:tc>
          <w:tcPr>
            <w:tcW w:w="1559" w:type="dxa"/>
            <w:tcBorders>
              <w:bottom w:val="single" w:sz="6" w:space="0" w:color="auto"/>
            </w:tcBorders>
            <w:vAlign w:val="bottom"/>
          </w:tcPr>
          <w:p w14:paraId="6E6740FB" w14:textId="517B9838" w:rsidR="000A481E" w:rsidRPr="007A76CE" w:rsidRDefault="00D779B7" w:rsidP="007A76CE">
            <w:pPr>
              <w:jc w:val="right"/>
              <w:rPr>
                <w:rFonts w:ascii="Arial" w:hAnsi="Arial" w:cs="Arial"/>
              </w:rPr>
            </w:pPr>
            <w:r w:rsidRPr="007A76CE">
              <w:rPr>
                <w:rFonts w:ascii="Arial" w:hAnsi="Arial" w:cs="Arial"/>
              </w:rPr>
              <w:t>(</w:t>
            </w:r>
            <w:r w:rsidR="007A76CE" w:rsidRPr="007A76CE">
              <w:rPr>
                <w:rFonts w:ascii="Arial" w:hAnsi="Arial" w:cs="Arial"/>
              </w:rPr>
              <w:t>524</w:t>
            </w:r>
            <w:r w:rsidRPr="007A76CE">
              <w:rPr>
                <w:rFonts w:ascii="Arial" w:hAnsi="Arial" w:cs="Arial"/>
              </w:rPr>
              <w:t>)</w:t>
            </w:r>
          </w:p>
        </w:tc>
        <w:tc>
          <w:tcPr>
            <w:tcW w:w="1559" w:type="dxa"/>
            <w:tcBorders>
              <w:bottom w:val="single" w:sz="6" w:space="0" w:color="auto"/>
            </w:tcBorders>
            <w:vAlign w:val="bottom"/>
          </w:tcPr>
          <w:p w14:paraId="6E6740FC" w14:textId="676FCF3C" w:rsidR="000A481E" w:rsidRPr="007A76CE" w:rsidRDefault="00213F8C" w:rsidP="007A76CE">
            <w:pPr>
              <w:jc w:val="right"/>
              <w:rPr>
                <w:rFonts w:ascii="Arial" w:hAnsi="Arial" w:cs="Arial"/>
              </w:rPr>
            </w:pPr>
            <w:r w:rsidRPr="007A76CE">
              <w:rPr>
                <w:rFonts w:ascii="Arial" w:hAnsi="Arial" w:cs="Arial"/>
              </w:rPr>
              <w:t>1</w:t>
            </w:r>
            <w:r w:rsidR="00216C52" w:rsidRPr="007A76CE">
              <w:rPr>
                <w:rFonts w:ascii="Arial" w:hAnsi="Arial" w:cs="Arial"/>
              </w:rPr>
              <w:t>0,</w:t>
            </w:r>
            <w:r w:rsidR="007A76CE" w:rsidRPr="007A76CE">
              <w:rPr>
                <w:rFonts w:ascii="Arial" w:hAnsi="Arial" w:cs="Arial"/>
              </w:rPr>
              <w:t>466</w:t>
            </w:r>
          </w:p>
        </w:tc>
        <w:tc>
          <w:tcPr>
            <w:tcW w:w="1558" w:type="dxa"/>
            <w:tcBorders>
              <w:bottom w:val="single" w:sz="6" w:space="0" w:color="auto"/>
            </w:tcBorders>
            <w:vAlign w:val="bottom"/>
          </w:tcPr>
          <w:p w14:paraId="6E6740FD" w14:textId="048B0602" w:rsidR="000A481E" w:rsidRPr="007A76CE" w:rsidRDefault="009554C6" w:rsidP="007A76CE">
            <w:pPr>
              <w:jc w:val="right"/>
              <w:rPr>
                <w:rFonts w:ascii="Arial" w:hAnsi="Arial" w:cs="Arial"/>
              </w:rPr>
            </w:pPr>
            <w:r w:rsidRPr="007A76CE">
              <w:rPr>
                <w:rFonts w:ascii="Arial" w:hAnsi="Arial" w:cs="Arial"/>
              </w:rPr>
              <w:t>(</w:t>
            </w:r>
            <w:r w:rsidR="00213F8C" w:rsidRPr="007A76CE">
              <w:rPr>
                <w:rFonts w:ascii="Arial" w:hAnsi="Arial" w:cs="Arial"/>
              </w:rPr>
              <w:t>5</w:t>
            </w:r>
            <w:r w:rsidR="007A76CE" w:rsidRPr="007A76CE">
              <w:rPr>
                <w:rFonts w:ascii="Arial" w:hAnsi="Arial" w:cs="Arial"/>
              </w:rPr>
              <w:t>6</w:t>
            </w:r>
            <w:r w:rsidR="00CC1850" w:rsidRPr="007A76CE">
              <w:rPr>
                <w:rFonts w:ascii="Arial" w:hAnsi="Arial" w:cs="Arial"/>
              </w:rPr>
              <w:t>)</w:t>
            </w:r>
          </w:p>
        </w:tc>
        <w:tc>
          <w:tcPr>
            <w:tcW w:w="1561" w:type="dxa"/>
            <w:tcBorders>
              <w:bottom w:val="single" w:sz="6" w:space="0" w:color="auto"/>
            </w:tcBorders>
            <w:vAlign w:val="bottom"/>
          </w:tcPr>
          <w:p w14:paraId="6E6740FE" w14:textId="53C194C6" w:rsidR="000A481E" w:rsidRPr="007A76CE" w:rsidRDefault="007A76CE" w:rsidP="00213F8C">
            <w:pPr>
              <w:jc w:val="right"/>
              <w:rPr>
                <w:rFonts w:ascii="Arial" w:hAnsi="Arial" w:cs="Arial"/>
              </w:rPr>
            </w:pPr>
            <w:r w:rsidRPr="007A76CE">
              <w:rPr>
                <w:rFonts w:ascii="Arial" w:hAnsi="Arial" w:cs="Arial"/>
              </w:rPr>
              <w:t>9,886</w:t>
            </w:r>
          </w:p>
        </w:tc>
      </w:tr>
      <w:tr w:rsidR="005D371C" w:rsidRPr="007A76CE" w14:paraId="6E674105" w14:textId="77777777" w:rsidTr="00B762F5">
        <w:tc>
          <w:tcPr>
            <w:tcW w:w="3261" w:type="dxa"/>
            <w:tcBorders>
              <w:top w:val="single" w:sz="6" w:space="0" w:color="auto"/>
              <w:left w:val="single" w:sz="6" w:space="0" w:color="auto"/>
              <w:bottom w:val="single" w:sz="6" w:space="0" w:color="auto"/>
              <w:right w:val="single" w:sz="6" w:space="0" w:color="auto"/>
            </w:tcBorders>
            <w:shd w:val="clear" w:color="auto" w:fill="4F81BD" w:themeFill="accent1"/>
          </w:tcPr>
          <w:p w14:paraId="6E674100" w14:textId="77777777" w:rsidR="005D371C" w:rsidRPr="007A76CE" w:rsidRDefault="005D371C" w:rsidP="005C46BA">
            <w:pPr>
              <w:pStyle w:val="Header"/>
              <w:tabs>
                <w:tab w:val="clear" w:pos="4153"/>
                <w:tab w:val="clear" w:pos="8306"/>
              </w:tabs>
              <w:rPr>
                <w:rFonts w:cs="Arial"/>
                <w:b/>
              </w:rPr>
            </w:pPr>
            <w:r w:rsidRPr="007A76CE">
              <w:rPr>
                <w:rFonts w:cs="Arial"/>
                <w:b/>
              </w:rPr>
              <w:t xml:space="preserve">Total </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14:paraId="6E674101" w14:textId="491F1308" w:rsidR="005D371C" w:rsidRPr="007A76CE" w:rsidRDefault="007A76CE" w:rsidP="005C46BA">
            <w:pPr>
              <w:jc w:val="right"/>
              <w:rPr>
                <w:rFonts w:ascii="Arial" w:hAnsi="Arial" w:cs="Arial"/>
                <w:b/>
              </w:rPr>
            </w:pPr>
            <w:r w:rsidRPr="007A76CE">
              <w:rPr>
                <w:rFonts w:ascii="Arial" w:hAnsi="Arial" w:cs="Arial"/>
                <w:b/>
              </w:rPr>
              <w:t>(8</w:t>
            </w:r>
            <w:r w:rsidR="00213F8C" w:rsidRPr="007A76CE">
              <w:rPr>
                <w:rFonts w:ascii="Arial" w:hAnsi="Arial" w:cs="Arial"/>
                <w:b/>
              </w:rPr>
              <w:t>6</w:t>
            </w:r>
            <w:r w:rsidR="009554C6" w:rsidRPr="007A76CE">
              <w:rPr>
                <w:rFonts w:ascii="Arial" w:hAnsi="Arial" w:cs="Arial"/>
                <w:b/>
              </w:rPr>
              <w:t>4)</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14:paraId="6E674102" w14:textId="4D35942C" w:rsidR="005D371C" w:rsidRPr="007A76CE" w:rsidRDefault="007A76CE" w:rsidP="00213F8C">
            <w:pPr>
              <w:jc w:val="right"/>
              <w:rPr>
                <w:rFonts w:ascii="Arial" w:hAnsi="Arial" w:cs="Arial"/>
                <w:b/>
              </w:rPr>
            </w:pPr>
            <w:r w:rsidRPr="007A76CE">
              <w:rPr>
                <w:rFonts w:ascii="Arial" w:hAnsi="Arial" w:cs="Arial"/>
                <w:b/>
              </w:rPr>
              <w:t>11,</w:t>
            </w:r>
            <w:r w:rsidR="00213F8C" w:rsidRPr="007A76CE">
              <w:rPr>
                <w:rFonts w:ascii="Arial" w:hAnsi="Arial" w:cs="Arial"/>
                <w:b/>
              </w:rPr>
              <w:t>3</w:t>
            </w:r>
            <w:r w:rsidRPr="007A76CE">
              <w:rPr>
                <w:rFonts w:ascii="Arial" w:hAnsi="Arial" w:cs="Arial"/>
                <w:b/>
              </w:rPr>
              <w:t>22</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14:paraId="6E674103" w14:textId="2AD89AF9" w:rsidR="005D371C" w:rsidRPr="007A76CE" w:rsidRDefault="005D371C" w:rsidP="00D779B7">
            <w:pPr>
              <w:jc w:val="right"/>
              <w:rPr>
                <w:rFonts w:ascii="Arial" w:hAnsi="Arial" w:cs="Arial"/>
                <w:b/>
              </w:rPr>
            </w:pPr>
            <w:r w:rsidRPr="007A76CE">
              <w:rPr>
                <w:rFonts w:ascii="Arial" w:hAnsi="Arial" w:cs="Arial"/>
                <w:b/>
              </w:rPr>
              <w:t>(</w:t>
            </w:r>
            <w:r w:rsidR="007A76CE" w:rsidRPr="007A76CE">
              <w:rPr>
                <w:rFonts w:ascii="Arial" w:hAnsi="Arial" w:cs="Arial"/>
                <w:b/>
              </w:rPr>
              <w:t>636</w:t>
            </w:r>
            <w:r w:rsidRPr="007A76CE">
              <w:rPr>
                <w:rFonts w:ascii="Arial" w:hAnsi="Arial" w:cs="Arial"/>
                <w:b/>
              </w:rPr>
              <w:t>)</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14:paraId="6E674104" w14:textId="20B77575" w:rsidR="005D371C" w:rsidRPr="007A76CE" w:rsidRDefault="007A76CE" w:rsidP="007A76CE">
            <w:pPr>
              <w:jc w:val="right"/>
              <w:rPr>
                <w:rFonts w:ascii="Arial" w:hAnsi="Arial" w:cs="Arial"/>
                <w:b/>
              </w:rPr>
            </w:pPr>
            <w:r w:rsidRPr="007A76CE">
              <w:rPr>
                <w:rFonts w:ascii="Arial" w:hAnsi="Arial" w:cs="Arial"/>
                <w:b/>
              </w:rPr>
              <w:t>9,822</w:t>
            </w:r>
          </w:p>
        </w:tc>
      </w:tr>
    </w:tbl>
    <w:p w14:paraId="6E674106" w14:textId="77777777" w:rsidR="005D371C" w:rsidRPr="00420DD5" w:rsidRDefault="005D371C" w:rsidP="00F4301A">
      <w:pPr>
        <w:pStyle w:val="BodyTextIndent3"/>
        <w:ind w:left="0"/>
        <w:jc w:val="both"/>
        <w:rPr>
          <w:sz w:val="24"/>
          <w:szCs w:val="24"/>
          <w:highlight w:val="yellow"/>
        </w:rPr>
      </w:pPr>
    </w:p>
    <w:p w14:paraId="6E674107" w14:textId="77777777" w:rsidR="00904A8D" w:rsidRPr="00420DD5" w:rsidRDefault="00A26B18" w:rsidP="00CA1E66">
      <w:pPr>
        <w:pStyle w:val="BodyText"/>
        <w:numPr>
          <w:ilvl w:val="1"/>
          <w:numId w:val="3"/>
        </w:numPr>
        <w:jc w:val="both"/>
        <w:rPr>
          <w:rFonts w:ascii="Arial" w:hAnsi="Arial"/>
        </w:rPr>
      </w:pPr>
      <w:r w:rsidRPr="00420DD5">
        <w:rPr>
          <w:rFonts w:ascii="Arial" w:hAnsi="Arial"/>
        </w:rPr>
        <w:t xml:space="preserve">DSG funded services are subject to strict grant conditions and </w:t>
      </w:r>
      <w:r w:rsidR="009762DB" w:rsidRPr="00420DD5">
        <w:rPr>
          <w:rFonts w:ascii="Arial" w:hAnsi="Arial"/>
        </w:rPr>
        <w:t>are not</w:t>
      </w:r>
      <w:r w:rsidRPr="00420DD5">
        <w:rPr>
          <w:rFonts w:ascii="Arial" w:hAnsi="Arial"/>
        </w:rPr>
        <w:t xml:space="preserve"> used by the </w:t>
      </w:r>
      <w:r w:rsidR="00974BB9" w:rsidRPr="00420DD5">
        <w:rPr>
          <w:rFonts w:ascii="Arial" w:hAnsi="Arial"/>
        </w:rPr>
        <w:t>Council for any other purposes.</w:t>
      </w:r>
    </w:p>
    <w:p w14:paraId="6E674108" w14:textId="5207B234" w:rsidR="00604C6B" w:rsidRDefault="00604C6B" w:rsidP="00CA1E66">
      <w:pPr>
        <w:pStyle w:val="BodyText"/>
        <w:ind w:left="720"/>
        <w:jc w:val="both"/>
        <w:rPr>
          <w:rFonts w:ascii="Arial" w:hAnsi="Arial"/>
          <w:highlight w:val="yellow"/>
        </w:rPr>
      </w:pPr>
    </w:p>
    <w:p w14:paraId="0C4C4538" w14:textId="270618A7" w:rsidR="009771D4" w:rsidRDefault="009771D4" w:rsidP="00CA1E66">
      <w:pPr>
        <w:pStyle w:val="BodyText"/>
        <w:ind w:left="720"/>
        <w:jc w:val="both"/>
        <w:rPr>
          <w:rFonts w:ascii="Arial" w:hAnsi="Arial"/>
          <w:highlight w:val="yellow"/>
        </w:rPr>
      </w:pPr>
    </w:p>
    <w:p w14:paraId="2FEC7F8F" w14:textId="77777777" w:rsidR="009771D4" w:rsidRPr="00420DD5" w:rsidRDefault="009771D4" w:rsidP="00CA1E66">
      <w:pPr>
        <w:pStyle w:val="BodyText"/>
        <w:ind w:left="720"/>
        <w:jc w:val="both"/>
        <w:rPr>
          <w:rFonts w:ascii="Arial" w:hAnsi="Arial"/>
          <w:highlight w:val="yellow"/>
        </w:rPr>
      </w:pPr>
    </w:p>
    <w:p w14:paraId="6E674109" w14:textId="77777777" w:rsidR="00904A8D" w:rsidRPr="00420DD5" w:rsidRDefault="00904A8D" w:rsidP="00CA1E66">
      <w:pPr>
        <w:pStyle w:val="Header"/>
        <w:numPr>
          <w:ilvl w:val="0"/>
          <w:numId w:val="2"/>
        </w:numPr>
        <w:tabs>
          <w:tab w:val="clear" w:pos="720"/>
          <w:tab w:val="clear" w:pos="4153"/>
          <w:tab w:val="clear" w:pos="8306"/>
        </w:tabs>
        <w:ind w:hanging="720"/>
        <w:jc w:val="both"/>
        <w:rPr>
          <w:b/>
          <w:sz w:val="28"/>
        </w:rPr>
      </w:pPr>
      <w:r w:rsidRPr="00420DD5">
        <w:rPr>
          <w:b/>
          <w:sz w:val="28"/>
        </w:rPr>
        <w:lastRenderedPageBreak/>
        <w:t>Details</w:t>
      </w:r>
    </w:p>
    <w:p w14:paraId="6E67410A" w14:textId="77777777" w:rsidR="00D61E3B" w:rsidRPr="00420DD5" w:rsidRDefault="00D61E3B" w:rsidP="00CA1E66">
      <w:pPr>
        <w:pStyle w:val="Header"/>
        <w:tabs>
          <w:tab w:val="clear" w:pos="4153"/>
          <w:tab w:val="clear" w:pos="8306"/>
        </w:tabs>
        <w:jc w:val="both"/>
        <w:rPr>
          <w:b/>
          <w:sz w:val="28"/>
          <w:highlight w:val="yellow"/>
        </w:rPr>
      </w:pPr>
    </w:p>
    <w:p w14:paraId="6FDCAF6A" w14:textId="2BDFF3A7" w:rsidR="00420DD5" w:rsidRPr="00DC4649" w:rsidRDefault="00420DD5" w:rsidP="00CA1E66">
      <w:pPr>
        <w:pStyle w:val="Header"/>
        <w:numPr>
          <w:ilvl w:val="1"/>
          <w:numId w:val="2"/>
        </w:numPr>
        <w:tabs>
          <w:tab w:val="clear" w:pos="4153"/>
          <w:tab w:val="clear" w:pos="8306"/>
        </w:tabs>
        <w:ind w:hanging="720"/>
        <w:jc w:val="both"/>
      </w:pPr>
      <w:r w:rsidRPr="00DC4649">
        <w:t>Merton’s Schools, Central Schools Services, and Early Yea</w:t>
      </w:r>
      <w:r w:rsidR="00DC4649" w:rsidRPr="00DC4649">
        <w:t>rs blocks underspent during 2019</w:t>
      </w:r>
      <w:r w:rsidRPr="00DC4649">
        <w:t>/</w:t>
      </w:r>
      <w:r w:rsidR="00DC4649" w:rsidRPr="00DC4649">
        <w:t>20</w:t>
      </w:r>
      <w:r w:rsidRPr="00DC4649">
        <w:t xml:space="preserve"> while the High Needs Block overspent. Some of these underspends were as a result of management action to reduce the overall overspend expected in the DSG as a whole.</w:t>
      </w:r>
    </w:p>
    <w:p w14:paraId="0042762A" w14:textId="77777777" w:rsidR="00420DD5" w:rsidRPr="00DC4649" w:rsidRDefault="00420DD5" w:rsidP="00CA1E66">
      <w:pPr>
        <w:pStyle w:val="Header"/>
        <w:tabs>
          <w:tab w:val="clear" w:pos="4153"/>
          <w:tab w:val="clear" w:pos="8306"/>
        </w:tabs>
        <w:ind w:left="720"/>
        <w:jc w:val="both"/>
      </w:pPr>
    </w:p>
    <w:p w14:paraId="10BBD817" w14:textId="77777777" w:rsidR="00420DD5" w:rsidRPr="00DC4649" w:rsidRDefault="00420DD5" w:rsidP="00CA1E66">
      <w:pPr>
        <w:pStyle w:val="Header"/>
        <w:numPr>
          <w:ilvl w:val="1"/>
          <w:numId w:val="2"/>
        </w:numPr>
        <w:tabs>
          <w:tab w:val="clear" w:pos="4153"/>
          <w:tab w:val="clear" w:pos="8306"/>
        </w:tabs>
        <w:ind w:hanging="720"/>
        <w:jc w:val="both"/>
      </w:pPr>
      <w:r w:rsidRPr="00DC4649">
        <w:t>The main reason for the overspend in the HNB is increased numbers of Education Health and Care Plans (EHCPs) over the past couple of years which have not been met with corresponding increases in grant funding. This has resulted in the HNB overspend becoming progressively larger.</w:t>
      </w:r>
    </w:p>
    <w:p w14:paraId="115DB1FE" w14:textId="77777777" w:rsidR="00420DD5" w:rsidRPr="00DC4649" w:rsidRDefault="00420DD5" w:rsidP="00CA1E66">
      <w:pPr>
        <w:pStyle w:val="ListParagraph"/>
        <w:jc w:val="both"/>
      </w:pPr>
    </w:p>
    <w:p w14:paraId="528211A1" w14:textId="77777777" w:rsidR="00420DD5" w:rsidRPr="00DC4649" w:rsidRDefault="00420DD5" w:rsidP="00CA1E66">
      <w:pPr>
        <w:pStyle w:val="Header"/>
        <w:numPr>
          <w:ilvl w:val="1"/>
          <w:numId w:val="2"/>
        </w:numPr>
        <w:tabs>
          <w:tab w:val="clear" w:pos="4153"/>
          <w:tab w:val="clear" w:pos="8306"/>
        </w:tabs>
        <w:ind w:hanging="720"/>
        <w:jc w:val="both"/>
      </w:pPr>
      <w:r w:rsidRPr="00DC4649">
        <w:t>In the past, Merton was able to put plans in place to fund smaller levels of increases. The sheer volume of increase in recent years has just been too large for the borough to cover due to the limited availability of local maintained provision and the time it takes to increase this through expansion and new build.</w:t>
      </w:r>
    </w:p>
    <w:p w14:paraId="62EB2DE7" w14:textId="77777777" w:rsidR="00420DD5" w:rsidRPr="00420DD5" w:rsidRDefault="00420DD5" w:rsidP="00CA1E66">
      <w:pPr>
        <w:pStyle w:val="ListParagraph"/>
        <w:jc w:val="both"/>
        <w:rPr>
          <w:highlight w:val="yellow"/>
        </w:rPr>
      </w:pPr>
    </w:p>
    <w:p w14:paraId="734CCFDB" w14:textId="768E7213" w:rsidR="00420DD5" w:rsidRPr="0003678F" w:rsidRDefault="00420DD5" w:rsidP="00CA1E66">
      <w:pPr>
        <w:pStyle w:val="Header"/>
        <w:numPr>
          <w:ilvl w:val="1"/>
          <w:numId w:val="2"/>
        </w:numPr>
        <w:tabs>
          <w:tab w:val="clear" w:pos="4153"/>
          <w:tab w:val="clear" w:pos="8306"/>
        </w:tabs>
        <w:ind w:hanging="720"/>
        <w:jc w:val="both"/>
      </w:pPr>
      <w:r w:rsidRPr="0003678F">
        <w:t>In the three years from January 2013 to January 2016, the total number of statements and EHCPs increased from 888 to 1,075 (increase of 187 cases,</w:t>
      </w:r>
      <w:r w:rsidR="0003678F" w:rsidRPr="0003678F">
        <w:t xml:space="preserve"> 21%). In the five</w:t>
      </w:r>
      <w:r w:rsidRPr="0003678F">
        <w:t xml:space="preserve"> years f</w:t>
      </w:r>
      <w:r w:rsidR="0003678F" w:rsidRPr="0003678F">
        <w:t>rom January 2016 to January 2020</w:t>
      </w:r>
      <w:r w:rsidRPr="0003678F">
        <w:t>, the total number of statements and EHCPs increased from 1,075 to 1,</w:t>
      </w:r>
      <w:r w:rsidR="0003678F" w:rsidRPr="0003678F">
        <w:t>928 (increase of 853</w:t>
      </w:r>
      <w:r w:rsidRPr="0003678F">
        <w:t xml:space="preserve"> cases,</w:t>
      </w:r>
      <w:r w:rsidR="0003678F" w:rsidRPr="0003678F">
        <w:t xml:space="preserve"> 56</w:t>
      </w:r>
      <w:r w:rsidRPr="0003678F">
        <w:t>%).The table below details the impact of the increase on the various types of provisi</w:t>
      </w:r>
      <w:r w:rsidR="0003678F">
        <w:t>on over the past year</w:t>
      </w:r>
      <w:r w:rsidRPr="0003678F">
        <w:t xml:space="preserve">. </w:t>
      </w:r>
    </w:p>
    <w:p w14:paraId="28BD1ABC" w14:textId="77777777" w:rsidR="00420DD5" w:rsidRPr="0003678F" w:rsidRDefault="00420DD5" w:rsidP="00CA1E66">
      <w:pPr>
        <w:pStyle w:val="Header"/>
        <w:tabs>
          <w:tab w:val="clear" w:pos="4153"/>
          <w:tab w:val="clear" w:pos="8306"/>
        </w:tabs>
        <w:ind w:left="720"/>
        <w:jc w:val="both"/>
      </w:pPr>
    </w:p>
    <w:p w14:paraId="6E67410C" w14:textId="447D5B79" w:rsidR="005C46BA" w:rsidRPr="0003678F" w:rsidRDefault="00D61E3B" w:rsidP="00CA1E66">
      <w:pPr>
        <w:pStyle w:val="Header"/>
        <w:numPr>
          <w:ilvl w:val="1"/>
          <w:numId w:val="2"/>
        </w:numPr>
        <w:tabs>
          <w:tab w:val="clear" w:pos="4153"/>
          <w:tab w:val="clear" w:pos="8306"/>
        </w:tabs>
        <w:ind w:hanging="720"/>
        <w:jc w:val="both"/>
        <w:rPr>
          <w:rFonts w:cs="Arial"/>
          <w:szCs w:val="24"/>
        </w:rPr>
      </w:pPr>
      <w:r w:rsidRPr="0003678F">
        <w:rPr>
          <w:rFonts w:cs="Arial"/>
          <w:szCs w:val="24"/>
        </w:rPr>
        <w:t xml:space="preserve">Significant </w:t>
      </w:r>
      <w:r w:rsidR="00CC1850" w:rsidRPr="0003678F">
        <w:rPr>
          <w:rFonts w:cs="Arial"/>
          <w:szCs w:val="24"/>
        </w:rPr>
        <w:t xml:space="preserve">over and </w:t>
      </w:r>
      <w:r w:rsidR="0003678F" w:rsidRPr="0003678F">
        <w:rPr>
          <w:rFonts w:cs="Arial"/>
          <w:szCs w:val="24"/>
        </w:rPr>
        <w:t>(</w:t>
      </w:r>
      <w:r w:rsidR="009A1477" w:rsidRPr="0003678F">
        <w:rPr>
          <w:rFonts w:cs="Arial"/>
          <w:szCs w:val="24"/>
        </w:rPr>
        <w:t>un</w:t>
      </w:r>
      <w:r w:rsidR="005C46BA" w:rsidRPr="0003678F">
        <w:rPr>
          <w:rFonts w:cs="Arial"/>
          <w:szCs w:val="24"/>
        </w:rPr>
        <w:t>der</w:t>
      </w:r>
      <w:r w:rsidR="0003678F" w:rsidRPr="0003678F">
        <w:rPr>
          <w:rFonts w:cs="Arial"/>
          <w:szCs w:val="24"/>
        </w:rPr>
        <w:t xml:space="preserve">) </w:t>
      </w:r>
      <w:r w:rsidR="005C46BA" w:rsidRPr="0003678F">
        <w:rPr>
          <w:rFonts w:cs="Arial"/>
          <w:szCs w:val="24"/>
        </w:rPr>
        <w:t>spends i</w:t>
      </w:r>
      <w:r w:rsidR="001429C1" w:rsidRPr="0003678F">
        <w:rPr>
          <w:rFonts w:cs="Arial"/>
          <w:szCs w:val="24"/>
        </w:rPr>
        <w:t>dent</w:t>
      </w:r>
      <w:r w:rsidR="00420DD5" w:rsidRPr="0003678F">
        <w:rPr>
          <w:rFonts w:cs="Arial"/>
          <w:szCs w:val="24"/>
        </w:rPr>
        <w:t>ified to the end of March</w:t>
      </w:r>
      <w:r w:rsidR="00AF4704" w:rsidRPr="0003678F">
        <w:rPr>
          <w:rFonts w:cs="Arial"/>
          <w:szCs w:val="24"/>
        </w:rPr>
        <w:t xml:space="preserve"> 20</w:t>
      </w:r>
      <w:r w:rsidR="00E71027" w:rsidRPr="0003678F">
        <w:rPr>
          <w:rFonts w:cs="Arial"/>
          <w:szCs w:val="24"/>
        </w:rPr>
        <w:t>20</w:t>
      </w:r>
      <w:r w:rsidRPr="0003678F">
        <w:rPr>
          <w:rFonts w:cs="Arial"/>
          <w:szCs w:val="24"/>
        </w:rPr>
        <w:t xml:space="preserve"> are detailed in the</w:t>
      </w:r>
      <w:r w:rsidR="005C46BA" w:rsidRPr="0003678F">
        <w:rPr>
          <w:rFonts w:cs="Arial"/>
          <w:szCs w:val="24"/>
        </w:rPr>
        <w:t xml:space="preserve"> </w:t>
      </w:r>
      <w:r w:rsidR="00420DD5" w:rsidRPr="0003678F">
        <w:rPr>
          <w:rFonts w:cs="Arial"/>
          <w:szCs w:val="24"/>
        </w:rPr>
        <w:t>following table:</w:t>
      </w:r>
    </w:p>
    <w:p w14:paraId="6E67410D" w14:textId="77777777" w:rsidR="005C46BA" w:rsidRPr="00420DD5" w:rsidRDefault="005C46BA" w:rsidP="005C46BA">
      <w:pPr>
        <w:pStyle w:val="Header"/>
        <w:tabs>
          <w:tab w:val="clear" w:pos="4153"/>
          <w:tab w:val="clear" w:pos="8306"/>
        </w:tabs>
        <w:rPr>
          <w:rFonts w:cs="Arial"/>
          <w:szCs w:val="24"/>
          <w:highlight w:val="yellow"/>
        </w:rPr>
      </w:pPr>
    </w:p>
    <w:p w14:paraId="6E674110" w14:textId="77777777" w:rsidR="005C46BA" w:rsidRPr="00420DD5" w:rsidRDefault="005C46BA" w:rsidP="005C46BA">
      <w:pPr>
        <w:pStyle w:val="Header"/>
        <w:tabs>
          <w:tab w:val="clear" w:pos="4153"/>
          <w:tab w:val="clear" w:pos="8306"/>
        </w:tabs>
        <w:rPr>
          <w:highlight w:val="yellow"/>
        </w:rPr>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1"/>
        <w:gridCol w:w="1559"/>
        <w:gridCol w:w="1559"/>
        <w:gridCol w:w="1558"/>
        <w:gridCol w:w="1561"/>
      </w:tblGrid>
      <w:tr w:rsidR="005C46BA" w:rsidRPr="0003678F" w14:paraId="6E674116" w14:textId="77777777" w:rsidTr="00B762F5">
        <w:trPr>
          <w:cantSplit/>
        </w:trPr>
        <w:tc>
          <w:tcPr>
            <w:tcW w:w="3261" w:type="dxa"/>
            <w:vMerge w:val="restart"/>
            <w:tcBorders>
              <w:top w:val="single" w:sz="6" w:space="0" w:color="auto"/>
              <w:left w:val="single" w:sz="6" w:space="0" w:color="auto"/>
              <w:bottom w:val="single" w:sz="6" w:space="0" w:color="auto"/>
              <w:right w:val="single" w:sz="6" w:space="0" w:color="auto"/>
            </w:tcBorders>
            <w:shd w:val="clear" w:color="auto" w:fill="4F81BD" w:themeFill="accent1"/>
          </w:tcPr>
          <w:p w14:paraId="6E674111" w14:textId="77777777" w:rsidR="005C46BA" w:rsidRPr="0003678F" w:rsidRDefault="005C46BA" w:rsidP="005C46BA">
            <w:pPr>
              <w:ind w:left="72"/>
              <w:rPr>
                <w:rFonts w:ascii="Arial" w:hAnsi="Arial" w:cs="Arial"/>
                <w:b/>
              </w:rPr>
            </w:pPr>
            <w:r w:rsidRPr="0003678F">
              <w:rPr>
                <w:rFonts w:ascii="Arial" w:hAnsi="Arial" w:cs="Arial"/>
                <w:b/>
              </w:rPr>
              <w:t>Dedicated Schools Grant</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tcPr>
          <w:p w14:paraId="6E674112" w14:textId="77777777" w:rsidR="005C46BA" w:rsidRPr="0003678F" w:rsidRDefault="005C46BA" w:rsidP="005C46BA">
            <w:pPr>
              <w:jc w:val="center"/>
              <w:rPr>
                <w:rFonts w:ascii="Arial" w:hAnsi="Arial" w:cs="Arial"/>
                <w:b/>
              </w:rPr>
            </w:pPr>
            <w:r w:rsidRPr="0003678F">
              <w:rPr>
                <w:rFonts w:ascii="Arial" w:hAnsi="Arial" w:cs="Arial"/>
                <w:b/>
              </w:rPr>
              <w:t>Schools Block</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tcPr>
          <w:p w14:paraId="6E674113" w14:textId="77777777" w:rsidR="005C46BA" w:rsidRPr="0003678F" w:rsidRDefault="005C46BA" w:rsidP="005C46BA">
            <w:pPr>
              <w:jc w:val="center"/>
              <w:rPr>
                <w:rFonts w:ascii="Arial" w:hAnsi="Arial" w:cs="Arial"/>
                <w:b/>
              </w:rPr>
            </w:pPr>
            <w:r w:rsidRPr="0003678F">
              <w:rPr>
                <w:rFonts w:ascii="Arial" w:hAnsi="Arial" w:cs="Arial"/>
                <w:b/>
              </w:rPr>
              <w:t>High Needs Block</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tcPr>
          <w:p w14:paraId="6E674114" w14:textId="77777777" w:rsidR="005C46BA" w:rsidRPr="0003678F" w:rsidRDefault="005C46BA" w:rsidP="005C46BA">
            <w:pPr>
              <w:tabs>
                <w:tab w:val="left" w:pos="0"/>
                <w:tab w:val="left" w:pos="72"/>
              </w:tabs>
              <w:ind w:left="72" w:hanging="72"/>
              <w:jc w:val="center"/>
              <w:rPr>
                <w:rFonts w:ascii="Arial" w:hAnsi="Arial" w:cs="Arial"/>
                <w:b/>
              </w:rPr>
            </w:pPr>
            <w:r w:rsidRPr="0003678F">
              <w:rPr>
                <w:rFonts w:ascii="Arial" w:hAnsi="Arial" w:cs="Arial"/>
                <w:b/>
              </w:rPr>
              <w:t>Early Years Block</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tcPr>
          <w:p w14:paraId="6E674115" w14:textId="77777777" w:rsidR="005C46BA" w:rsidRPr="0003678F" w:rsidRDefault="005C46BA" w:rsidP="005C46BA">
            <w:pPr>
              <w:jc w:val="center"/>
              <w:rPr>
                <w:rFonts w:ascii="Arial" w:hAnsi="Arial" w:cs="Arial"/>
                <w:b/>
              </w:rPr>
            </w:pPr>
            <w:r w:rsidRPr="0003678F">
              <w:rPr>
                <w:rFonts w:ascii="Arial" w:hAnsi="Arial" w:cs="Arial"/>
                <w:b/>
              </w:rPr>
              <w:t>Total all Blocks</w:t>
            </w:r>
          </w:p>
        </w:tc>
      </w:tr>
      <w:tr w:rsidR="005C46BA" w:rsidRPr="0003678F" w14:paraId="6E67411C" w14:textId="77777777" w:rsidTr="00B762F5">
        <w:trPr>
          <w:cantSplit/>
        </w:trPr>
        <w:tc>
          <w:tcPr>
            <w:tcW w:w="3261" w:type="dxa"/>
            <w:vMerge/>
            <w:tcBorders>
              <w:top w:val="single" w:sz="6" w:space="0" w:color="auto"/>
              <w:left w:val="single" w:sz="4" w:space="0" w:color="auto"/>
              <w:bottom w:val="single" w:sz="4" w:space="0" w:color="auto"/>
              <w:right w:val="single" w:sz="6" w:space="0" w:color="auto"/>
            </w:tcBorders>
            <w:shd w:val="clear" w:color="000000" w:fill="548DD4" w:themeFill="text2" w:themeFillTint="99"/>
          </w:tcPr>
          <w:p w14:paraId="6E674117" w14:textId="77777777" w:rsidR="005C46BA" w:rsidRPr="0003678F" w:rsidRDefault="005C46BA" w:rsidP="005C46BA">
            <w:pPr>
              <w:pStyle w:val="Header"/>
              <w:tabs>
                <w:tab w:val="clear" w:pos="4153"/>
                <w:tab w:val="clear" w:pos="8306"/>
              </w:tabs>
              <w:ind w:left="72"/>
              <w:rPr>
                <w:rFonts w:cs="Arial"/>
                <w:bCs/>
              </w:rPr>
            </w:pP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14:paraId="6E674118" w14:textId="372116BE" w:rsidR="005C46BA" w:rsidRPr="0003678F" w:rsidRDefault="005C46BA" w:rsidP="005C46BA">
            <w:pPr>
              <w:jc w:val="center"/>
              <w:rPr>
                <w:rFonts w:ascii="Arial" w:hAnsi="Arial" w:cs="Arial"/>
              </w:rPr>
            </w:pPr>
            <w:r w:rsidRPr="0003678F">
              <w:rPr>
                <w:rFonts w:ascii="Arial" w:hAnsi="Arial" w:cs="Arial"/>
                <w:b/>
              </w:rPr>
              <w:t>£</w:t>
            </w:r>
            <w:r w:rsidR="0003678F" w:rsidRPr="0003678F">
              <w:rPr>
                <w:rFonts w:ascii="Arial" w:hAnsi="Arial" w:cs="Arial"/>
                <w:b/>
              </w:rPr>
              <w:t>’</w:t>
            </w:r>
            <w:r w:rsidRPr="0003678F">
              <w:rPr>
                <w:rFonts w:ascii="Arial" w:hAnsi="Arial" w:cs="Arial"/>
                <w:b/>
              </w:rPr>
              <w:t>000</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14:paraId="6E674119" w14:textId="1694B230" w:rsidR="005C46BA" w:rsidRPr="0003678F" w:rsidRDefault="005C46BA" w:rsidP="005C46BA">
            <w:pPr>
              <w:jc w:val="center"/>
              <w:rPr>
                <w:rFonts w:ascii="Arial" w:hAnsi="Arial" w:cs="Arial"/>
              </w:rPr>
            </w:pPr>
            <w:r w:rsidRPr="0003678F">
              <w:rPr>
                <w:rFonts w:ascii="Arial" w:hAnsi="Arial" w:cs="Arial"/>
                <w:b/>
              </w:rPr>
              <w:t>£</w:t>
            </w:r>
            <w:r w:rsidR="0003678F" w:rsidRPr="0003678F">
              <w:rPr>
                <w:rFonts w:ascii="Arial" w:hAnsi="Arial" w:cs="Arial"/>
                <w:b/>
              </w:rPr>
              <w:t>’</w:t>
            </w:r>
            <w:r w:rsidRPr="0003678F">
              <w:rPr>
                <w:rFonts w:ascii="Arial" w:hAnsi="Arial" w:cs="Arial"/>
                <w:b/>
              </w:rPr>
              <w:t>000</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14:paraId="6E67411A" w14:textId="147754E6" w:rsidR="005C46BA" w:rsidRPr="0003678F" w:rsidRDefault="005C46BA" w:rsidP="005C46BA">
            <w:pPr>
              <w:jc w:val="center"/>
              <w:rPr>
                <w:rFonts w:ascii="Arial" w:hAnsi="Arial" w:cs="Arial"/>
              </w:rPr>
            </w:pPr>
            <w:r w:rsidRPr="0003678F">
              <w:rPr>
                <w:rFonts w:ascii="Arial" w:hAnsi="Arial" w:cs="Arial"/>
                <w:b/>
              </w:rPr>
              <w:t>£</w:t>
            </w:r>
            <w:r w:rsidR="0003678F" w:rsidRPr="0003678F">
              <w:rPr>
                <w:rFonts w:ascii="Arial" w:hAnsi="Arial" w:cs="Arial"/>
                <w:b/>
              </w:rPr>
              <w:t>’</w:t>
            </w:r>
            <w:r w:rsidRPr="0003678F">
              <w:rPr>
                <w:rFonts w:ascii="Arial" w:hAnsi="Arial" w:cs="Arial"/>
                <w:b/>
              </w:rPr>
              <w:t>000</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14:paraId="6E67411B" w14:textId="0CAC356C" w:rsidR="005C46BA" w:rsidRPr="0003678F" w:rsidRDefault="005C46BA" w:rsidP="005C46BA">
            <w:pPr>
              <w:jc w:val="center"/>
              <w:rPr>
                <w:rFonts w:ascii="Arial" w:hAnsi="Arial" w:cs="Arial"/>
              </w:rPr>
            </w:pPr>
            <w:r w:rsidRPr="0003678F">
              <w:rPr>
                <w:rFonts w:ascii="Arial" w:hAnsi="Arial" w:cs="Arial"/>
                <w:b/>
              </w:rPr>
              <w:t>£</w:t>
            </w:r>
            <w:r w:rsidR="0003678F" w:rsidRPr="0003678F">
              <w:rPr>
                <w:rFonts w:ascii="Arial" w:hAnsi="Arial" w:cs="Arial"/>
                <w:b/>
              </w:rPr>
              <w:t>’</w:t>
            </w:r>
            <w:r w:rsidRPr="0003678F">
              <w:rPr>
                <w:rFonts w:ascii="Arial" w:hAnsi="Arial" w:cs="Arial"/>
                <w:b/>
              </w:rPr>
              <w:t>000</w:t>
            </w:r>
          </w:p>
        </w:tc>
      </w:tr>
      <w:tr w:rsidR="002C3DA9" w:rsidRPr="00F523E8" w14:paraId="6E674122" w14:textId="77777777" w:rsidTr="005E2F0B">
        <w:tc>
          <w:tcPr>
            <w:tcW w:w="3261" w:type="dxa"/>
            <w:tcBorders>
              <w:top w:val="single" w:sz="4" w:space="0" w:color="auto"/>
            </w:tcBorders>
          </w:tcPr>
          <w:p w14:paraId="6E67411D" w14:textId="77777777" w:rsidR="002C3DA9" w:rsidRPr="00F523E8" w:rsidRDefault="004B01CC" w:rsidP="005C46BA">
            <w:pPr>
              <w:pStyle w:val="Header"/>
              <w:tabs>
                <w:tab w:val="clear" w:pos="4153"/>
                <w:tab w:val="clear" w:pos="8306"/>
              </w:tabs>
              <w:rPr>
                <w:rFonts w:cs="Arial"/>
                <w:bCs/>
              </w:rPr>
            </w:pPr>
            <w:r w:rsidRPr="00F523E8">
              <w:rPr>
                <w:rFonts w:cs="Arial"/>
                <w:bCs/>
              </w:rPr>
              <w:t>Rate adjustments</w:t>
            </w:r>
          </w:p>
        </w:tc>
        <w:tc>
          <w:tcPr>
            <w:tcW w:w="1559" w:type="dxa"/>
            <w:tcBorders>
              <w:top w:val="single" w:sz="4" w:space="0" w:color="auto"/>
            </w:tcBorders>
          </w:tcPr>
          <w:p w14:paraId="6E67411E" w14:textId="5D891908" w:rsidR="002C3DA9" w:rsidRPr="00F523E8" w:rsidRDefault="004F666E" w:rsidP="009572E5">
            <w:pPr>
              <w:jc w:val="right"/>
              <w:rPr>
                <w:rFonts w:ascii="Arial" w:hAnsi="Arial" w:cs="Arial"/>
              </w:rPr>
            </w:pPr>
            <w:r w:rsidRPr="00F523E8">
              <w:rPr>
                <w:rFonts w:ascii="Arial" w:hAnsi="Arial" w:cs="Arial"/>
              </w:rPr>
              <w:t>(</w:t>
            </w:r>
            <w:r w:rsidR="009572E5" w:rsidRPr="00F523E8">
              <w:rPr>
                <w:rFonts w:ascii="Arial" w:hAnsi="Arial" w:cs="Arial"/>
              </w:rPr>
              <w:t>86</w:t>
            </w:r>
            <w:r w:rsidRPr="00F523E8">
              <w:rPr>
                <w:rFonts w:ascii="Arial" w:hAnsi="Arial" w:cs="Arial"/>
              </w:rPr>
              <w:t>)</w:t>
            </w:r>
          </w:p>
        </w:tc>
        <w:tc>
          <w:tcPr>
            <w:tcW w:w="1559" w:type="dxa"/>
            <w:tcBorders>
              <w:top w:val="single" w:sz="4" w:space="0" w:color="auto"/>
            </w:tcBorders>
          </w:tcPr>
          <w:p w14:paraId="6E67411F" w14:textId="77777777" w:rsidR="002C3DA9" w:rsidRPr="00F523E8" w:rsidRDefault="002C3DA9" w:rsidP="005E2F0B">
            <w:pPr>
              <w:jc w:val="right"/>
              <w:rPr>
                <w:rFonts w:ascii="Arial" w:hAnsi="Arial" w:cs="Arial"/>
              </w:rPr>
            </w:pPr>
          </w:p>
        </w:tc>
        <w:tc>
          <w:tcPr>
            <w:tcW w:w="1558" w:type="dxa"/>
            <w:tcBorders>
              <w:top w:val="single" w:sz="4" w:space="0" w:color="auto"/>
            </w:tcBorders>
            <w:vAlign w:val="bottom"/>
          </w:tcPr>
          <w:p w14:paraId="6E674120" w14:textId="77777777" w:rsidR="002C3DA9" w:rsidRPr="00F523E8" w:rsidRDefault="002C3DA9" w:rsidP="005C46BA">
            <w:pPr>
              <w:jc w:val="right"/>
              <w:rPr>
                <w:rFonts w:ascii="Arial" w:hAnsi="Arial" w:cs="Arial"/>
              </w:rPr>
            </w:pPr>
          </w:p>
        </w:tc>
        <w:tc>
          <w:tcPr>
            <w:tcW w:w="1561" w:type="dxa"/>
            <w:tcBorders>
              <w:top w:val="single" w:sz="4" w:space="0" w:color="auto"/>
            </w:tcBorders>
          </w:tcPr>
          <w:p w14:paraId="6E674121" w14:textId="622E830A" w:rsidR="002C3DA9" w:rsidRPr="00F523E8" w:rsidRDefault="0039464E" w:rsidP="00D34CB4">
            <w:pPr>
              <w:jc w:val="right"/>
              <w:rPr>
                <w:rFonts w:ascii="Arial" w:hAnsi="Arial" w:cs="Arial"/>
              </w:rPr>
            </w:pPr>
            <w:r w:rsidRPr="00F523E8">
              <w:rPr>
                <w:rFonts w:ascii="Arial" w:hAnsi="Arial" w:cs="Arial"/>
              </w:rPr>
              <w:t>(86</w:t>
            </w:r>
            <w:r w:rsidR="006E2D7D" w:rsidRPr="00F523E8">
              <w:rPr>
                <w:rFonts w:ascii="Arial" w:hAnsi="Arial" w:cs="Arial"/>
              </w:rPr>
              <w:t>)</w:t>
            </w:r>
          </w:p>
        </w:tc>
      </w:tr>
      <w:tr w:rsidR="004F666E" w:rsidRPr="00F523E8" w14:paraId="6E674128" w14:textId="77777777" w:rsidTr="00D105BA">
        <w:tc>
          <w:tcPr>
            <w:tcW w:w="3261" w:type="dxa"/>
            <w:tcBorders>
              <w:top w:val="single" w:sz="4" w:space="0" w:color="auto"/>
            </w:tcBorders>
          </w:tcPr>
          <w:p w14:paraId="6E674123" w14:textId="77777777" w:rsidR="004F666E" w:rsidRPr="00F523E8" w:rsidRDefault="004F666E" w:rsidP="00D105BA">
            <w:pPr>
              <w:pStyle w:val="Header"/>
              <w:tabs>
                <w:tab w:val="clear" w:pos="4153"/>
                <w:tab w:val="clear" w:pos="8306"/>
              </w:tabs>
              <w:rPr>
                <w:rFonts w:cs="Arial"/>
                <w:bCs/>
              </w:rPr>
            </w:pPr>
            <w:r w:rsidRPr="00F523E8">
              <w:rPr>
                <w:rFonts w:cs="Arial"/>
                <w:bCs/>
              </w:rPr>
              <w:t>Bulge class funding</w:t>
            </w:r>
          </w:p>
        </w:tc>
        <w:tc>
          <w:tcPr>
            <w:tcW w:w="1559" w:type="dxa"/>
            <w:tcBorders>
              <w:top w:val="single" w:sz="4" w:space="0" w:color="auto"/>
            </w:tcBorders>
          </w:tcPr>
          <w:p w14:paraId="6E674124" w14:textId="352FB501" w:rsidR="004F666E" w:rsidRPr="00F523E8" w:rsidRDefault="006E2D7D" w:rsidP="00D34CB4">
            <w:pPr>
              <w:jc w:val="right"/>
              <w:rPr>
                <w:rFonts w:ascii="Arial" w:hAnsi="Arial" w:cs="Arial"/>
              </w:rPr>
            </w:pPr>
            <w:r w:rsidRPr="00F523E8">
              <w:rPr>
                <w:rFonts w:ascii="Arial" w:hAnsi="Arial" w:cs="Arial"/>
              </w:rPr>
              <w:t>(</w:t>
            </w:r>
            <w:r w:rsidR="00F523E8" w:rsidRPr="00F523E8">
              <w:rPr>
                <w:rFonts w:ascii="Arial" w:hAnsi="Arial" w:cs="Arial"/>
              </w:rPr>
              <w:t>240</w:t>
            </w:r>
            <w:r w:rsidRPr="00F523E8">
              <w:rPr>
                <w:rFonts w:ascii="Arial" w:hAnsi="Arial" w:cs="Arial"/>
              </w:rPr>
              <w:t>)</w:t>
            </w:r>
          </w:p>
        </w:tc>
        <w:tc>
          <w:tcPr>
            <w:tcW w:w="1559" w:type="dxa"/>
            <w:tcBorders>
              <w:top w:val="single" w:sz="4" w:space="0" w:color="auto"/>
            </w:tcBorders>
          </w:tcPr>
          <w:p w14:paraId="6E674125" w14:textId="77777777" w:rsidR="004F666E" w:rsidRPr="00F523E8" w:rsidRDefault="004F666E" w:rsidP="00D105BA">
            <w:pPr>
              <w:jc w:val="right"/>
              <w:rPr>
                <w:rFonts w:ascii="Arial" w:hAnsi="Arial" w:cs="Arial"/>
              </w:rPr>
            </w:pPr>
          </w:p>
        </w:tc>
        <w:tc>
          <w:tcPr>
            <w:tcW w:w="1558" w:type="dxa"/>
            <w:tcBorders>
              <w:top w:val="single" w:sz="4" w:space="0" w:color="auto"/>
            </w:tcBorders>
          </w:tcPr>
          <w:p w14:paraId="6E674126" w14:textId="77777777" w:rsidR="004F666E" w:rsidRPr="00F523E8" w:rsidRDefault="004F666E" w:rsidP="00D105BA">
            <w:pPr>
              <w:jc w:val="right"/>
              <w:rPr>
                <w:rFonts w:ascii="Arial" w:hAnsi="Arial" w:cs="Arial"/>
              </w:rPr>
            </w:pPr>
          </w:p>
        </w:tc>
        <w:tc>
          <w:tcPr>
            <w:tcW w:w="1561" w:type="dxa"/>
            <w:tcBorders>
              <w:top w:val="single" w:sz="4" w:space="0" w:color="auto"/>
            </w:tcBorders>
          </w:tcPr>
          <w:p w14:paraId="6E674127" w14:textId="784D3A6E" w:rsidR="004F666E" w:rsidRPr="00F523E8" w:rsidRDefault="00F523E8" w:rsidP="00D105BA">
            <w:pPr>
              <w:jc w:val="right"/>
              <w:rPr>
                <w:rFonts w:ascii="Arial" w:hAnsi="Arial" w:cs="Arial"/>
              </w:rPr>
            </w:pPr>
            <w:r w:rsidRPr="00F523E8">
              <w:rPr>
                <w:rFonts w:ascii="Arial" w:hAnsi="Arial" w:cs="Arial"/>
              </w:rPr>
              <w:t>(24</w:t>
            </w:r>
            <w:r w:rsidR="00D34CB4" w:rsidRPr="00F523E8">
              <w:rPr>
                <w:rFonts w:ascii="Arial" w:hAnsi="Arial" w:cs="Arial"/>
              </w:rPr>
              <w:t>0</w:t>
            </w:r>
            <w:r w:rsidR="006E2D7D" w:rsidRPr="00F523E8">
              <w:rPr>
                <w:rFonts w:ascii="Arial" w:hAnsi="Arial" w:cs="Arial"/>
              </w:rPr>
              <w:t>)</w:t>
            </w:r>
          </w:p>
        </w:tc>
      </w:tr>
      <w:tr w:rsidR="00696B84" w:rsidRPr="00F523E8" w14:paraId="6E67412E" w14:textId="77777777" w:rsidTr="00D105BA">
        <w:tc>
          <w:tcPr>
            <w:tcW w:w="3261" w:type="dxa"/>
            <w:tcBorders>
              <w:top w:val="single" w:sz="4" w:space="0" w:color="auto"/>
            </w:tcBorders>
          </w:tcPr>
          <w:p w14:paraId="6E674129" w14:textId="77777777" w:rsidR="00696B84" w:rsidRPr="00F523E8" w:rsidRDefault="00696B84" w:rsidP="00D105BA">
            <w:pPr>
              <w:pStyle w:val="Header"/>
              <w:tabs>
                <w:tab w:val="clear" w:pos="4153"/>
                <w:tab w:val="clear" w:pos="8306"/>
              </w:tabs>
              <w:rPr>
                <w:rFonts w:cs="Arial"/>
                <w:bCs/>
              </w:rPr>
            </w:pPr>
            <w:r w:rsidRPr="00F523E8">
              <w:rPr>
                <w:rFonts w:cs="Arial"/>
                <w:bCs/>
              </w:rPr>
              <w:t>SEN statement payments to Merton maintained schools</w:t>
            </w:r>
          </w:p>
        </w:tc>
        <w:tc>
          <w:tcPr>
            <w:tcW w:w="1559" w:type="dxa"/>
            <w:tcBorders>
              <w:top w:val="single" w:sz="4" w:space="0" w:color="auto"/>
            </w:tcBorders>
          </w:tcPr>
          <w:p w14:paraId="6E67412A" w14:textId="77777777" w:rsidR="00696B84" w:rsidRPr="00F523E8" w:rsidRDefault="00696B84" w:rsidP="00D105BA">
            <w:pPr>
              <w:jc w:val="right"/>
              <w:rPr>
                <w:rFonts w:ascii="Arial" w:hAnsi="Arial" w:cs="Arial"/>
              </w:rPr>
            </w:pPr>
          </w:p>
        </w:tc>
        <w:tc>
          <w:tcPr>
            <w:tcW w:w="1559" w:type="dxa"/>
            <w:tcBorders>
              <w:top w:val="single" w:sz="4" w:space="0" w:color="auto"/>
            </w:tcBorders>
          </w:tcPr>
          <w:p w14:paraId="6E67412B" w14:textId="29359477" w:rsidR="00696B84" w:rsidRPr="00F523E8" w:rsidRDefault="0039464E" w:rsidP="00F523E8">
            <w:pPr>
              <w:jc w:val="right"/>
              <w:rPr>
                <w:rFonts w:ascii="Arial" w:hAnsi="Arial" w:cs="Arial"/>
              </w:rPr>
            </w:pPr>
            <w:r w:rsidRPr="00F523E8">
              <w:rPr>
                <w:rFonts w:ascii="Arial" w:hAnsi="Arial" w:cs="Arial"/>
              </w:rPr>
              <w:t>1,1</w:t>
            </w:r>
            <w:r w:rsidR="00F523E8" w:rsidRPr="00F523E8">
              <w:rPr>
                <w:rFonts w:ascii="Arial" w:hAnsi="Arial" w:cs="Arial"/>
              </w:rPr>
              <w:t>88</w:t>
            </w:r>
          </w:p>
        </w:tc>
        <w:tc>
          <w:tcPr>
            <w:tcW w:w="1558" w:type="dxa"/>
            <w:tcBorders>
              <w:top w:val="single" w:sz="4" w:space="0" w:color="auto"/>
            </w:tcBorders>
          </w:tcPr>
          <w:p w14:paraId="6E67412C" w14:textId="77777777" w:rsidR="00696B84" w:rsidRPr="00F523E8" w:rsidRDefault="00696B84" w:rsidP="00D105BA">
            <w:pPr>
              <w:jc w:val="right"/>
              <w:rPr>
                <w:rFonts w:ascii="Arial" w:hAnsi="Arial" w:cs="Arial"/>
              </w:rPr>
            </w:pPr>
          </w:p>
        </w:tc>
        <w:tc>
          <w:tcPr>
            <w:tcW w:w="1561" w:type="dxa"/>
            <w:tcBorders>
              <w:top w:val="single" w:sz="4" w:space="0" w:color="auto"/>
            </w:tcBorders>
          </w:tcPr>
          <w:p w14:paraId="6E67412D" w14:textId="0452FA84" w:rsidR="00696B84" w:rsidRPr="00F523E8" w:rsidRDefault="0039464E" w:rsidP="00F523E8">
            <w:pPr>
              <w:jc w:val="right"/>
              <w:rPr>
                <w:rFonts w:ascii="Arial" w:hAnsi="Arial" w:cs="Arial"/>
              </w:rPr>
            </w:pPr>
            <w:r w:rsidRPr="00F523E8">
              <w:rPr>
                <w:rFonts w:ascii="Arial" w:hAnsi="Arial" w:cs="Arial"/>
              </w:rPr>
              <w:t>1,1</w:t>
            </w:r>
            <w:r w:rsidR="00F523E8" w:rsidRPr="00F523E8">
              <w:rPr>
                <w:rFonts w:ascii="Arial" w:hAnsi="Arial" w:cs="Arial"/>
              </w:rPr>
              <w:t>88</w:t>
            </w:r>
          </w:p>
        </w:tc>
      </w:tr>
      <w:tr w:rsidR="004F465B" w:rsidRPr="00F523E8" w14:paraId="6E674134" w14:textId="77777777" w:rsidTr="00D105BA">
        <w:tc>
          <w:tcPr>
            <w:tcW w:w="3261" w:type="dxa"/>
            <w:tcBorders>
              <w:top w:val="single" w:sz="4" w:space="0" w:color="auto"/>
            </w:tcBorders>
          </w:tcPr>
          <w:p w14:paraId="6E67412F" w14:textId="77777777" w:rsidR="004F465B" w:rsidRPr="00F523E8" w:rsidRDefault="004F465B" w:rsidP="00D105BA">
            <w:pPr>
              <w:pStyle w:val="Header"/>
              <w:tabs>
                <w:tab w:val="clear" w:pos="4153"/>
                <w:tab w:val="clear" w:pos="8306"/>
              </w:tabs>
              <w:rPr>
                <w:rFonts w:cs="Arial"/>
                <w:bCs/>
              </w:rPr>
            </w:pPr>
            <w:r w:rsidRPr="00F523E8">
              <w:rPr>
                <w:rFonts w:cs="Arial"/>
                <w:bCs/>
              </w:rPr>
              <w:t>ARP</w:t>
            </w:r>
          </w:p>
        </w:tc>
        <w:tc>
          <w:tcPr>
            <w:tcW w:w="1559" w:type="dxa"/>
            <w:tcBorders>
              <w:top w:val="single" w:sz="4" w:space="0" w:color="auto"/>
            </w:tcBorders>
          </w:tcPr>
          <w:p w14:paraId="6E674130" w14:textId="77777777" w:rsidR="004F465B" w:rsidRPr="00F523E8" w:rsidRDefault="004F465B" w:rsidP="00D105BA">
            <w:pPr>
              <w:jc w:val="right"/>
              <w:rPr>
                <w:rFonts w:ascii="Arial" w:hAnsi="Arial" w:cs="Arial"/>
              </w:rPr>
            </w:pPr>
          </w:p>
        </w:tc>
        <w:tc>
          <w:tcPr>
            <w:tcW w:w="1559" w:type="dxa"/>
            <w:tcBorders>
              <w:top w:val="single" w:sz="4" w:space="0" w:color="auto"/>
            </w:tcBorders>
          </w:tcPr>
          <w:p w14:paraId="6E674131" w14:textId="1CDDE8D4" w:rsidR="004F465B" w:rsidRPr="00F523E8" w:rsidRDefault="006E2D7D" w:rsidP="0039464E">
            <w:pPr>
              <w:jc w:val="right"/>
              <w:rPr>
                <w:rFonts w:ascii="Arial" w:hAnsi="Arial" w:cs="Arial"/>
              </w:rPr>
            </w:pPr>
            <w:r w:rsidRPr="00F523E8">
              <w:rPr>
                <w:rFonts w:ascii="Arial" w:hAnsi="Arial" w:cs="Arial"/>
              </w:rPr>
              <w:t>(</w:t>
            </w:r>
            <w:r w:rsidR="00F523E8" w:rsidRPr="00F523E8">
              <w:rPr>
                <w:rFonts w:ascii="Arial" w:hAnsi="Arial" w:cs="Arial"/>
              </w:rPr>
              <w:t>35</w:t>
            </w:r>
            <w:r w:rsidR="004F465B" w:rsidRPr="00F523E8">
              <w:rPr>
                <w:rFonts w:ascii="Arial" w:hAnsi="Arial" w:cs="Arial"/>
              </w:rPr>
              <w:t>)</w:t>
            </w:r>
          </w:p>
        </w:tc>
        <w:tc>
          <w:tcPr>
            <w:tcW w:w="1558" w:type="dxa"/>
            <w:tcBorders>
              <w:top w:val="single" w:sz="4" w:space="0" w:color="auto"/>
            </w:tcBorders>
          </w:tcPr>
          <w:p w14:paraId="6E674132" w14:textId="77777777" w:rsidR="004F465B" w:rsidRPr="00F523E8" w:rsidRDefault="004F465B" w:rsidP="00D105BA">
            <w:pPr>
              <w:jc w:val="right"/>
              <w:rPr>
                <w:rFonts w:ascii="Arial" w:hAnsi="Arial" w:cs="Arial"/>
              </w:rPr>
            </w:pPr>
          </w:p>
        </w:tc>
        <w:tc>
          <w:tcPr>
            <w:tcW w:w="1561" w:type="dxa"/>
            <w:tcBorders>
              <w:top w:val="single" w:sz="4" w:space="0" w:color="auto"/>
            </w:tcBorders>
          </w:tcPr>
          <w:p w14:paraId="6E674133" w14:textId="08D5E546" w:rsidR="004F465B" w:rsidRPr="00F523E8" w:rsidRDefault="004F465B" w:rsidP="006E2D7D">
            <w:pPr>
              <w:jc w:val="right"/>
              <w:rPr>
                <w:rFonts w:ascii="Arial" w:hAnsi="Arial" w:cs="Arial"/>
              </w:rPr>
            </w:pPr>
            <w:r w:rsidRPr="00F523E8">
              <w:rPr>
                <w:rFonts w:ascii="Arial" w:hAnsi="Arial" w:cs="Arial"/>
              </w:rPr>
              <w:t>(</w:t>
            </w:r>
            <w:r w:rsidR="00F523E8" w:rsidRPr="00F523E8">
              <w:rPr>
                <w:rFonts w:ascii="Arial" w:hAnsi="Arial" w:cs="Arial"/>
              </w:rPr>
              <w:t>35</w:t>
            </w:r>
            <w:r w:rsidRPr="00F523E8">
              <w:rPr>
                <w:rFonts w:ascii="Arial" w:hAnsi="Arial" w:cs="Arial"/>
              </w:rPr>
              <w:t>)</w:t>
            </w:r>
          </w:p>
        </w:tc>
      </w:tr>
      <w:tr w:rsidR="0039464E" w:rsidRPr="00F523E8" w14:paraId="26BB6C05" w14:textId="77777777" w:rsidTr="00D105BA">
        <w:tc>
          <w:tcPr>
            <w:tcW w:w="3261" w:type="dxa"/>
            <w:tcBorders>
              <w:top w:val="single" w:sz="4" w:space="0" w:color="auto"/>
            </w:tcBorders>
          </w:tcPr>
          <w:p w14:paraId="4E1DBEC4" w14:textId="14F2DD79" w:rsidR="0039464E" w:rsidRPr="00F523E8" w:rsidRDefault="0039464E" w:rsidP="0039464E">
            <w:pPr>
              <w:pStyle w:val="Header"/>
              <w:tabs>
                <w:tab w:val="clear" w:pos="4153"/>
                <w:tab w:val="clear" w:pos="8306"/>
              </w:tabs>
              <w:rPr>
                <w:rFonts w:cs="Arial"/>
                <w:bCs/>
              </w:rPr>
            </w:pPr>
            <w:r w:rsidRPr="00F523E8">
              <w:rPr>
                <w:rFonts w:cs="Arial"/>
                <w:bCs/>
              </w:rPr>
              <w:t>Income recovered from other local authorities</w:t>
            </w:r>
          </w:p>
        </w:tc>
        <w:tc>
          <w:tcPr>
            <w:tcW w:w="1559" w:type="dxa"/>
            <w:tcBorders>
              <w:top w:val="single" w:sz="4" w:space="0" w:color="auto"/>
            </w:tcBorders>
          </w:tcPr>
          <w:p w14:paraId="662C348D" w14:textId="77777777" w:rsidR="0039464E" w:rsidRPr="00F523E8" w:rsidRDefault="0039464E" w:rsidP="00D105BA">
            <w:pPr>
              <w:jc w:val="right"/>
              <w:rPr>
                <w:rFonts w:ascii="Arial" w:hAnsi="Arial" w:cs="Arial"/>
              </w:rPr>
            </w:pPr>
          </w:p>
        </w:tc>
        <w:tc>
          <w:tcPr>
            <w:tcW w:w="1559" w:type="dxa"/>
            <w:tcBorders>
              <w:top w:val="single" w:sz="4" w:space="0" w:color="auto"/>
            </w:tcBorders>
          </w:tcPr>
          <w:p w14:paraId="48E8ECC6" w14:textId="6FD95EDE" w:rsidR="0039464E" w:rsidRPr="00F523E8" w:rsidRDefault="00F523E8" w:rsidP="006E2D7D">
            <w:pPr>
              <w:jc w:val="right"/>
              <w:rPr>
                <w:rFonts w:ascii="Arial" w:hAnsi="Arial" w:cs="Arial"/>
              </w:rPr>
            </w:pPr>
            <w:r w:rsidRPr="00F523E8">
              <w:rPr>
                <w:rFonts w:ascii="Arial" w:hAnsi="Arial" w:cs="Arial"/>
              </w:rPr>
              <w:t>(2</w:t>
            </w:r>
            <w:r w:rsidR="0039464E" w:rsidRPr="00F523E8">
              <w:rPr>
                <w:rFonts w:ascii="Arial" w:hAnsi="Arial" w:cs="Arial"/>
              </w:rPr>
              <w:t>9</w:t>
            </w:r>
            <w:r w:rsidRPr="00F523E8">
              <w:rPr>
                <w:rFonts w:ascii="Arial" w:hAnsi="Arial" w:cs="Arial"/>
              </w:rPr>
              <w:t>7</w:t>
            </w:r>
            <w:r w:rsidR="0039464E" w:rsidRPr="00F523E8">
              <w:rPr>
                <w:rFonts w:ascii="Arial" w:hAnsi="Arial" w:cs="Arial"/>
              </w:rPr>
              <w:t>)</w:t>
            </w:r>
          </w:p>
        </w:tc>
        <w:tc>
          <w:tcPr>
            <w:tcW w:w="1558" w:type="dxa"/>
            <w:tcBorders>
              <w:top w:val="single" w:sz="4" w:space="0" w:color="auto"/>
            </w:tcBorders>
          </w:tcPr>
          <w:p w14:paraId="2AD042D2" w14:textId="77777777" w:rsidR="0039464E" w:rsidRPr="00F523E8" w:rsidRDefault="0039464E" w:rsidP="00D105BA">
            <w:pPr>
              <w:jc w:val="right"/>
              <w:rPr>
                <w:rFonts w:ascii="Arial" w:hAnsi="Arial" w:cs="Arial"/>
              </w:rPr>
            </w:pPr>
          </w:p>
        </w:tc>
        <w:tc>
          <w:tcPr>
            <w:tcW w:w="1561" w:type="dxa"/>
            <w:tcBorders>
              <w:top w:val="single" w:sz="4" w:space="0" w:color="auto"/>
            </w:tcBorders>
          </w:tcPr>
          <w:p w14:paraId="12A0326E" w14:textId="45353C1D" w:rsidR="0039464E" w:rsidRPr="00F523E8" w:rsidRDefault="00F523E8" w:rsidP="006E2D7D">
            <w:pPr>
              <w:jc w:val="right"/>
              <w:rPr>
                <w:rFonts w:ascii="Arial" w:hAnsi="Arial" w:cs="Arial"/>
              </w:rPr>
            </w:pPr>
            <w:r w:rsidRPr="00F523E8">
              <w:rPr>
                <w:rFonts w:ascii="Arial" w:hAnsi="Arial" w:cs="Arial"/>
              </w:rPr>
              <w:t>(2</w:t>
            </w:r>
            <w:r w:rsidR="0039464E" w:rsidRPr="00F523E8">
              <w:rPr>
                <w:rFonts w:ascii="Arial" w:hAnsi="Arial" w:cs="Arial"/>
              </w:rPr>
              <w:t>9</w:t>
            </w:r>
            <w:r w:rsidRPr="00F523E8">
              <w:rPr>
                <w:rFonts w:ascii="Arial" w:hAnsi="Arial" w:cs="Arial"/>
              </w:rPr>
              <w:t>7</w:t>
            </w:r>
            <w:r w:rsidR="0039464E" w:rsidRPr="00F523E8">
              <w:rPr>
                <w:rFonts w:ascii="Arial" w:hAnsi="Arial" w:cs="Arial"/>
              </w:rPr>
              <w:t>)</w:t>
            </w:r>
          </w:p>
        </w:tc>
      </w:tr>
      <w:tr w:rsidR="00FE531C" w:rsidRPr="00F523E8" w14:paraId="06C31F77" w14:textId="77777777" w:rsidTr="00D105BA">
        <w:tc>
          <w:tcPr>
            <w:tcW w:w="3261" w:type="dxa"/>
            <w:tcBorders>
              <w:top w:val="single" w:sz="4" w:space="0" w:color="auto"/>
            </w:tcBorders>
          </w:tcPr>
          <w:p w14:paraId="768AD7F2" w14:textId="3AAA6BD3" w:rsidR="00FE531C" w:rsidRPr="00F523E8" w:rsidRDefault="00FE531C" w:rsidP="0039464E">
            <w:pPr>
              <w:pStyle w:val="Header"/>
              <w:tabs>
                <w:tab w:val="clear" w:pos="4153"/>
                <w:tab w:val="clear" w:pos="8306"/>
              </w:tabs>
              <w:rPr>
                <w:rFonts w:cs="Arial"/>
                <w:bCs/>
              </w:rPr>
            </w:pPr>
            <w:r w:rsidRPr="00F523E8">
              <w:rPr>
                <w:rFonts w:cs="Arial"/>
                <w:bCs/>
              </w:rPr>
              <w:t>Early Years 3/4 YO Offer</w:t>
            </w:r>
          </w:p>
        </w:tc>
        <w:tc>
          <w:tcPr>
            <w:tcW w:w="1559" w:type="dxa"/>
            <w:tcBorders>
              <w:top w:val="single" w:sz="4" w:space="0" w:color="auto"/>
            </w:tcBorders>
          </w:tcPr>
          <w:p w14:paraId="478B486A" w14:textId="77777777" w:rsidR="00FE531C" w:rsidRPr="00F523E8" w:rsidRDefault="00FE531C" w:rsidP="00D105BA">
            <w:pPr>
              <w:jc w:val="right"/>
              <w:rPr>
                <w:rFonts w:ascii="Arial" w:hAnsi="Arial" w:cs="Arial"/>
              </w:rPr>
            </w:pPr>
          </w:p>
        </w:tc>
        <w:tc>
          <w:tcPr>
            <w:tcW w:w="1559" w:type="dxa"/>
            <w:tcBorders>
              <w:top w:val="single" w:sz="4" w:space="0" w:color="auto"/>
            </w:tcBorders>
          </w:tcPr>
          <w:p w14:paraId="4565DAC2" w14:textId="77777777" w:rsidR="00FE531C" w:rsidRPr="00F523E8" w:rsidRDefault="00FE531C" w:rsidP="006E2D7D">
            <w:pPr>
              <w:jc w:val="right"/>
              <w:rPr>
                <w:rFonts w:ascii="Arial" w:hAnsi="Arial" w:cs="Arial"/>
              </w:rPr>
            </w:pPr>
          </w:p>
        </w:tc>
        <w:tc>
          <w:tcPr>
            <w:tcW w:w="1558" w:type="dxa"/>
            <w:tcBorders>
              <w:top w:val="single" w:sz="4" w:space="0" w:color="auto"/>
            </w:tcBorders>
          </w:tcPr>
          <w:p w14:paraId="6F860C8E" w14:textId="04DDB0AB" w:rsidR="00FE531C" w:rsidRPr="00F523E8" w:rsidRDefault="00FE531C" w:rsidP="00D105BA">
            <w:pPr>
              <w:jc w:val="right"/>
              <w:rPr>
                <w:rFonts w:ascii="Arial" w:hAnsi="Arial" w:cs="Arial"/>
              </w:rPr>
            </w:pPr>
            <w:r w:rsidRPr="00F523E8">
              <w:rPr>
                <w:rFonts w:ascii="Arial" w:hAnsi="Arial" w:cs="Arial"/>
              </w:rPr>
              <w:t>(533)</w:t>
            </w:r>
          </w:p>
        </w:tc>
        <w:tc>
          <w:tcPr>
            <w:tcW w:w="1561" w:type="dxa"/>
            <w:tcBorders>
              <w:top w:val="single" w:sz="4" w:space="0" w:color="auto"/>
            </w:tcBorders>
          </w:tcPr>
          <w:p w14:paraId="049C99C0" w14:textId="0583EBE7" w:rsidR="00FE531C" w:rsidRPr="00F523E8" w:rsidRDefault="00F523E8" w:rsidP="006E2D7D">
            <w:pPr>
              <w:jc w:val="right"/>
              <w:rPr>
                <w:rFonts w:ascii="Arial" w:hAnsi="Arial" w:cs="Arial"/>
              </w:rPr>
            </w:pPr>
            <w:r w:rsidRPr="00F523E8">
              <w:rPr>
                <w:rFonts w:ascii="Arial" w:hAnsi="Arial" w:cs="Arial"/>
              </w:rPr>
              <w:t>(533)</w:t>
            </w:r>
          </w:p>
        </w:tc>
      </w:tr>
      <w:tr w:rsidR="00C128EE" w:rsidRPr="00F523E8" w14:paraId="6E674140" w14:textId="77777777" w:rsidTr="005E2F0B">
        <w:tc>
          <w:tcPr>
            <w:tcW w:w="3261" w:type="dxa"/>
            <w:tcBorders>
              <w:top w:val="single" w:sz="4" w:space="0" w:color="auto"/>
            </w:tcBorders>
          </w:tcPr>
          <w:p w14:paraId="6E67413B" w14:textId="54478D47" w:rsidR="00C128EE" w:rsidRPr="00F523E8" w:rsidRDefault="00B43AD2" w:rsidP="005E2F0B">
            <w:pPr>
              <w:pStyle w:val="Header"/>
              <w:tabs>
                <w:tab w:val="clear" w:pos="4153"/>
                <w:tab w:val="clear" w:pos="8306"/>
              </w:tabs>
              <w:rPr>
                <w:rFonts w:cs="Arial"/>
                <w:bCs/>
              </w:rPr>
            </w:pPr>
            <w:r w:rsidRPr="00F523E8">
              <w:rPr>
                <w:rFonts w:cs="Arial"/>
              </w:rPr>
              <w:t xml:space="preserve">Other small over and </w:t>
            </w:r>
            <w:r w:rsidR="00FE531C" w:rsidRPr="00F523E8">
              <w:rPr>
                <w:rFonts w:cs="Arial"/>
              </w:rPr>
              <w:t>(</w:t>
            </w:r>
            <w:r w:rsidRPr="00F523E8">
              <w:rPr>
                <w:rFonts w:cs="Arial"/>
              </w:rPr>
              <w:t>under</w:t>
            </w:r>
            <w:r w:rsidR="00FE531C" w:rsidRPr="00F523E8">
              <w:rPr>
                <w:rFonts w:cs="Arial"/>
              </w:rPr>
              <w:t xml:space="preserve">) </w:t>
            </w:r>
            <w:r w:rsidRPr="00F523E8">
              <w:rPr>
                <w:rFonts w:cs="Arial"/>
              </w:rPr>
              <w:t>spends</w:t>
            </w:r>
          </w:p>
        </w:tc>
        <w:tc>
          <w:tcPr>
            <w:tcW w:w="1559" w:type="dxa"/>
            <w:tcBorders>
              <w:top w:val="single" w:sz="4" w:space="0" w:color="auto"/>
            </w:tcBorders>
          </w:tcPr>
          <w:p w14:paraId="6E67413C" w14:textId="5F4D9F94" w:rsidR="00C128EE" w:rsidRPr="00F523E8" w:rsidRDefault="0039464E" w:rsidP="005E2F0B">
            <w:pPr>
              <w:jc w:val="right"/>
              <w:rPr>
                <w:rFonts w:ascii="Arial" w:hAnsi="Arial" w:cs="Arial"/>
              </w:rPr>
            </w:pPr>
            <w:r w:rsidRPr="00F523E8">
              <w:rPr>
                <w:rFonts w:ascii="Arial" w:hAnsi="Arial" w:cs="Arial"/>
              </w:rPr>
              <w:t>(14)</w:t>
            </w:r>
          </w:p>
        </w:tc>
        <w:tc>
          <w:tcPr>
            <w:tcW w:w="1559" w:type="dxa"/>
            <w:tcBorders>
              <w:top w:val="single" w:sz="4" w:space="0" w:color="auto"/>
            </w:tcBorders>
          </w:tcPr>
          <w:p w14:paraId="6E67413D" w14:textId="029769F7" w:rsidR="00C128EE" w:rsidRPr="00F523E8" w:rsidRDefault="00C128EE" w:rsidP="0039464E">
            <w:pPr>
              <w:jc w:val="right"/>
              <w:rPr>
                <w:rFonts w:ascii="Arial" w:hAnsi="Arial" w:cs="Arial"/>
              </w:rPr>
            </w:pPr>
          </w:p>
        </w:tc>
        <w:tc>
          <w:tcPr>
            <w:tcW w:w="1558" w:type="dxa"/>
            <w:tcBorders>
              <w:top w:val="single" w:sz="4" w:space="0" w:color="auto"/>
            </w:tcBorders>
          </w:tcPr>
          <w:p w14:paraId="6E67413E" w14:textId="14C30812" w:rsidR="00C128EE" w:rsidRPr="00F523E8" w:rsidRDefault="006E2D7D" w:rsidP="00F523E8">
            <w:pPr>
              <w:jc w:val="right"/>
              <w:rPr>
                <w:rFonts w:ascii="Arial" w:hAnsi="Arial" w:cs="Arial"/>
              </w:rPr>
            </w:pPr>
            <w:r w:rsidRPr="00F523E8">
              <w:rPr>
                <w:rFonts w:ascii="Arial" w:hAnsi="Arial" w:cs="Arial"/>
              </w:rPr>
              <w:t>(</w:t>
            </w:r>
            <w:r w:rsidR="00F523E8" w:rsidRPr="00F523E8">
              <w:rPr>
                <w:rFonts w:ascii="Arial" w:hAnsi="Arial" w:cs="Arial"/>
              </w:rPr>
              <w:t>47</w:t>
            </w:r>
            <w:r w:rsidRPr="00F523E8">
              <w:rPr>
                <w:rFonts w:ascii="Arial" w:hAnsi="Arial" w:cs="Arial"/>
              </w:rPr>
              <w:t>)</w:t>
            </w:r>
          </w:p>
        </w:tc>
        <w:tc>
          <w:tcPr>
            <w:tcW w:w="1561" w:type="dxa"/>
            <w:tcBorders>
              <w:top w:val="single" w:sz="4" w:space="0" w:color="auto"/>
            </w:tcBorders>
          </w:tcPr>
          <w:p w14:paraId="6E67413F" w14:textId="34F523FB" w:rsidR="00C128EE" w:rsidRPr="00F523E8" w:rsidRDefault="006E2D7D" w:rsidP="00216C52">
            <w:pPr>
              <w:jc w:val="right"/>
              <w:rPr>
                <w:rFonts w:ascii="Arial" w:hAnsi="Arial" w:cs="Arial"/>
              </w:rPr>
            </w:pPr>
            <w:r w:rsidRPr="00F523E8">
              <w:rPr>
                <w:rFonts w:ascii="Arial" w:hAnsi="Arial" w:cs="Arial"/>
              </w:rPr>
              <w:t>(</w:t>
            </w:r>
            <w:r w:rsidR="00F523E8" w:rsidRPr="00F523E8">
              <w:rPr>
                <w:rFonts w:ascii="Arial" w:hAnsi="Arial" w:cs="Arial"/>
              </w:rPr>
              <w:t>61</w:t>
            </w:r>
            <w:r w:rsidRPr="00F523E8">
              <w:rPr>
                <w:rFonts w:ascii="Arial" w:hAnsi="Arial" w:cs="Arial"/>
              </w:rPr>
              <w:t>)</w:t>
            </w:r>
          </w:p>
        </w:tc>
      </w:tr>
      <w:tr w:rsidR="002C3DA9" w:rsidRPr="00454DBB" w14:paraId="6E674146" w14:textId="77777777" w:rsidTr="00B762F5">
        <w:tc>
          <w:tcPr>
            <w:tcW w:w="3261" w:type="dxa"/>
            <w:tcBorders>
              <w:top w:val="single" w:sz="6" w:space="0" w:color="auto"/>
            </w:tcBorders>
            <w:shd w:val="clear" w:color="auto" w:fill="4F81BD" w:themeFill="accent1"/>
          </w:tcPr>
          <w:p w14:paraId="6E674141" w14:textId="77777777" w:rsidR="002C3DA9" w:rsidRPr="00454DBB" w:rsidRDefault="002C3DA9" w:rsidP="005C46BA">
            <w:pPr>
              <w:pStyle w:val="Header"/>
              <w:tabs>
                <w:tab w:val="clear" w:pos="4153"/>
                <w:tab w:val="clear" w:pos="8306"/>
              </w:tabs>
              <w:rPr>
                <w:rFonts w:cs="Arial"/>
                <w:b/>
                <w:bCs/>
              </w:rPr>
            </w:pPr>
            <w:r w:rsidRPr="00454DBB">
              <w:rPr>
                <w:rFonts w:cs="Arial"/>
                <w:b/>
                <w:bCs/>
              </w:rPr>
              <w:t>Delegated expenditure</w:t>
            </w:r>
          </w:p>
        </w:tc>
        <w:tc>
          <w:tcPr>
            <w:tcW w:w="1559" w:type="dxa"/>
            <w:tcBorders>
              <w:top w:val="single" w:sz="6" w:space="0" w:color="auto"/>
            </w:tcBorders>
            <w:shd w:val="clear" w:color="auto" w:fill="4F81BD" w:themeFill="accent1"/>
            <w:vAlign w:val="bottom"/>
          </w:tcPr>
          <w:p w14:paraId="6E674142" w14:textId="5820F5C5" w:rsidR="002C3DA9" w:rsidRPr="00454DBB" w:rsidRDefault="00F523E8" w:rsidP="001429C1">
            <w:pPr>
              <w:jc w:val="right"/>
              <w:rPr>
                <w:rFonts w:ascii="Arial" w:hAnsi="Arial" w:cs="Arial"/>
                <w:b/>
              </w:rPr>
            </w:pPr>
            <w:r w:rsidRPr="00454DBB">
              <w:rPr>
                <w:rFonts w:ascii="Arial" w:hAnsi="Arial" w:cs="Arial"/>
                <w:b/>
              </w:rPr>
              <w:t>(34</w:t>
            </w:r>
            <w:r w:rsidR="0039464E" w:rsidRPr="00454DBB">
              <w:rPr>
                <w:rFonts w:ascii="Arial" w:hAnsi="Arial" w:cs="Arial"/>
                <w:b/>
              </w:rPr>
              <w:t>0</w:t>
            </w:r>
            <w:r w:rsidR="004F666E" w:rsidRPr="00454DBB">
              <w:rPr>
                <w:rFonts w:ascii="Arial" w:hAnsi="Arial" w:cs="Arial"/>
                <w:b/>
              </w:rPr>
              <w:t>)</w:t>
            </w:r>
          </w:p>
        </w:tc>
        <w:tc>
          <w:tcPr>
            <w:tcW w:w="1559" w:type="dxa"/>
            <w:tcBorders>
              <w:top w:val="single" w:sz="6" w:space="0" w:color="auto"/>
            </w:tcBorders>
            <w:shd w:val="clear" w:color="auto" w:fill="4F81BD" w:themeFill="accent1"/>
            <w:vAlign w:val="bottom"/>
          </w:tcPr>
          <w:p w14:paraId="6E674143" w14:textId="2B74A74C" w:rsidR="002C3DA9" w:rsidRPr="00454DBB" w:rsidRDefault="00F523E8" w:rsidP="00F523E8">
            <w:pPr>
              <w:jc w:val="right"/>
              <w:rPr>
                <w:rFonts w:ascii="Arial" w:hAnsi="Arial" w:cs="Arial"/>
                <w:b/>
              </w:rPr>
            </w:pPr>
            <w:r w:rsidRPr="00454DBB">
              <w:rPr>
                <w:rFonts w:ascii="Arial" w:hAnsi="Arial" w:cs="Arial"/>
                <w:b/>
              </w:rPr>
              <w:t>856</w:t>
            </w:r>
          </w:p>
        </w:tc>
        <w:tc>
          <w:tcPr>
            <w:tcW w:w="1558" w:type="dxa"/>
            <w:tcBorders>
              <w:top w:val="single" w:sz="6" w:space="0" w:color="auto"/>
            </w:tcBorders>
            <w:shd w:val="clear" w:color="auto" w:fill="4F81BD" w:themeFill="accent1"/>
            <w:vAlign w:val="bottom"/>
          </w:tcPr>
          <w:p w14:paraId="6E674144" w14:textId="4579965F" w:rsidR="002C3DA9" w:rsidRPr="00454DBB" w:rsidRDefault="004F666E" w:rsidP="00512D3D">
            <w:pPr>
              <w:jc w:val="right"/>
              <w:rPr>
                <w:rFonts w:ascii="Arial" w:hAnsi="Arial" w:cs="Arial"/>
                <w:b/>
              </w:rPr>
            </w:pPr>
            <w:r w:rsidRPr="00454DBB">
              <w:rPr>
                <w:rFonts w:ascii="Arial" w:hAnsi="Arial" w:cs="Arial"/>
                <w:b/>
              </w:rPr>
              <w:t>(</w:t>
            </w:r>
            <w:r w:rsidR="00512D3D" w:rsidRPr="00454DBB">
              <w:rPr>
                <w:rFonts w:ascii="Arial" w:hAnsi="Arial" w:cs="Arial"/>
                <w:b/>
              </w:rPr>
              <w:t>5</w:t>
            </w:r>
            <w:r w:rsidR="00F523E8" w:rsidRPr="00454DBB">
              <w:rPr>
                <w:rFonts w:ascii="Arial" w:hAnsi="Arial" w:cs="Arial"/>
                <w:b/>
              </w:rPr>
              <w:t>80</w:t>
            </w:r>
            <w:r w:rsidRPr="00454DBB">
              <w:rPr>
                <w:rFonts w:ascii="Arial" w:hAnsi="Arial" w:cs="Arial"/>
                <w:b/>
              </w:rPr>
              <w:t>)</w:t>
            </w:r>
          </w:p>
        </w:tc>
        <w:tc>
          <w:tcPr>
            <w:tcW w:w="1561" w:type="dxa"/>
            <w:tcBorders>
              <w:top w:val="single" w:sz="6" w:space="0" w:color="auto"/>
            </w:tcBorders>
            <w:shd w:val="clear" w:color="auto" w:fill="4F81BD" w:themeFill="accent1"/>
            <w:vAlign w:val="bottom"/>
          </w:tcPr>
          <w:p w14:paraId="6E674145" w14:textId="6CD69784" w:rsidR="002C3DA9" w:rsidRPr="00454DBB" w:rsidRDefault="00F523E8" w:rsidP="00F523E8">
            <w:pPr>
              <w:jc w:val="right"/>
              <w:rPr>
                <w:rFonts w:ascii="Arial" w:hAnsi="Arial" w:cs="Arial"/>
                <w:b/>
              </w:rPr>
            </w:pPr>
            <w:r w:rsidRPr="00454DBB">
              <w:rPr>
                <w:rFonts w:ascii="Arial" w:hAnsi="Arial" w:cs="Arial"/>
                <w:b/>
              </w:rPr>
              <w:t>(</w:t>
            </w:r>
            <w:r w:rsidR="00216C52" w:rsidRPr="00454DBB">
              <w:rPr>
                <w:rFonts w:ascii="Arial" w:hAnsi="Arial" w:cs="Arial"/>
                <w:b/>
              </w:rPr>
              <w:t>64</w:t>
            </w:r>
            <w:r w:rsidRPr="00454DBB">
              <w:rPr>
                <w:rFonts w:ascii="Arial" w:hAnsi="Arial" w:cs="Arial"/>
                <w:b/>
              </w:rPr>
              <w:t>)</w:t>
            </w:r>
          </w:p>
        </w:tc>
      </w:tr>
      <w:tr w:rsidR="008A37A6" w:rsidRPr="00420DD5" w14:paraId="6E67414C" w14:textId="77777777" w:rsidTr="00D105BA">
        <w:tc>
          <w:tcPr>
            <w:tcW w:w="3261" w:type="dxa"/>
            <w:tcBorders>
              <w:top w:val="single" w:sz="4" w:space="0" w:color="auto"/>
            </w:tcBorders>
          </w:tcPr>
          <w:p w14:paraId="6E674147" w14:textId="77777777" w:rsidR="008A37A6" w:rsidRPr="00E0736B" w:rsidRDefault="00C73472" w:rsidP="00C2334F">
            <w:pPr>
              <w:pStyle w:val="Header"/>
              <w:tabs>
                <w:tab w:val="clear" w:pos="4153"/>
                <w:tab w:val="clear" w:pos="8306"/>
              </w:tabs>
              <w:rPr>
                <w:rFonts w:cs="Arial"/>
                <w:bCs/>
              </w:rPr>
            </w:pPr>
            <w:r w:rsidRPr="00E0736B">
              <w:rPr>
                <w:rFonts w:cs="Arial"/>
                <w:bCs/>
              </w:rPr>
              <w:t>A</w:t>
            </w:r>
            <w:r w:rsidR="00C2334F" w:rsidRPr="00E0736B">
              <w:rPr>
                <w:rFonts w:cs="Arial"/>
                <w:bCs/>
              </w:rPr>
              <w:t xml:space="preserve">dditional </w:t>
            </w:r>
            <w:r w:rsidRPr="00E0736B">
              <w:rPr>
                <w:rFonts w:cs="Arial"/>
                <w:bCs/>
              </w:rPr>
              <w:t>SEN provision</w:t>
            </w:r>
          </w:p>
        </w:tc>
        <w:tc>
          <w:tcPr>
            <w:tcW w:w="1559" w:type="dxa"/>
            <w:tcBorders>
              <w:top w:val="single" w:sz="4" w:space="0" w:color="auto"/>
            </w:tcBorders>
            <w:vAlign w:val="bottom"/>
          </w:tcPr>
          <w:p w14:paraId="6E674148" w14:textId="77777777" w:rsidR="008A37A6" w:rsidRPr="00420DD5" w:rsidRDefault="008A37A6" w:rsidP="00D105BA">
            <w:pPr>
              <w:jc w:val="right"/>
              <w:rPr>
                <w:rFonts w:ascii="Arial" w:hAnsi="Arial" w:cs="Arial"/>
                <w:highlight w:val="yellow"/>
              </w:rPr>
            </w:pPr>
          </w:p>
        </w:tc>
        <w:tc>
          <w:tcPr>
            <w:tcW w:w="1559" w:type="dxa"/>
            <w:tcBorders>
              <w:top w:val="single" w:sz="4" w:space="0" w:color="auto"/>
            </w:tcBorders>
          </w:tcPr>
          <w:p w14:paraId="6E674149" w14:textId="6A347DE7" w:rsidR="008A37A6" w:rsidRPr="007A27F3" w:rsidRDefault="00FB0C79" w:rsidP="00F523E8">
            <w:pPr>
              <w:jc w:val="right"/>
              <w:rPr>
                <w:rFonts w:ascii="Arial" w:hAnsi="Arial" w:cs="Arial"/>
              </w:rPr>
            </w:pPr>
            <w:r w:rsidRPr="007A27F3">
              <w:rPr>
                <w:rFonts w:ascii="Arial" w:hAnsi="Arial" w:cs="Arial"/>
              </w:rPr>
              <w:t>1,</w:t>
            </w:r>
            <w:r w:rsidR="00F523E8" w:rsidRPr="007A27F3">
              <w:rPr>
                <w:rFonts w:ascii="Arial" w:hAnsi="Arial" w:cs="Arial"/>
              </w:rPr>
              <w:t>489</w:t>
            </w:r>
          </w:p>
        </w:tc>
        <w:tc>
          <w:tcPr>
            <w:tcW w:w="1558" w:type="dxa"/>
            <w:tcBorders>
              <w:top w:val="single" w:sz="4" w:space="0" w:color="auto"/>
            </w:tcBorders>
          </w:tcPr>
          <w:p w14:paraId="6E67414A" w14:textId="77777777" w:rsidR="008A37A6" w:rsidRPr="00420DD5" w:rsidRDefault="008A37A6" w:rsidP="00D105BA">
            <w:pPr>
              <w:jc w:val="right"/>
              <w:rPr>
                <w:rFonts w:ascii="Arial" w:hAnsi="Arial" w:cs="Arial"/>
                <w:highlight w:val="yellow"/>
              </w:rPr>
            </w:pPr>
          </w:p>
        </w:tc>
        <w:tc>
          <w:tcPr>
            <w:tcW w:w="1561" w:type="dxa"/>
            <w:tcBorders>
              <w:top w:val="single" w:sz="4" w:space="0" w:color="auto"/>
            </w:tcBorders>
          </w:tcPr>
          <w:p w14:paraId="6E67414B" w14:textId="50C55512" w:rsidR="008A37A6" w:rsidRPr="007A27F3" w:rsidRDefault="00FB0C79" w:rsidP="00F523E8">
            <w:pPr>
              <w:jc w:val="right"/>
              <w:rPr>
                <w:rFonts w:ascii="Arial" w:hAnsi="Arial" w:cs="Arial"/>
              </w:rPr>
            </w:pPr>
            <w:r w:rsidRPr="007A27F3">
              <w:rPr>
                <w:rFonts w:ascii="Arial" w:hAnsi="Arial" w:cs="Arial"/>
              </w:rPr>
              <w:t>1,</w:t>
            </w:r>
            <w:r w:rsidR="00F523E8" w:rsidRPr="007A27F3">
              <w:rPr>
                <w:rFonts w:ascii="Arial" w:hAnsi="Arial" w:cs="Arial"/>
              </w:rPr>
              <w:t>489</w:t>
            </w:r>
          </w:p>
        </w:tc>
      </w:tr>
      <w:tr w:rsidR="00643561" w:rsidRPr="00420DD5" w14:paraId="6E674152" w14:textId="77777777" w:rsidTr="00D105BA">
        <w:tc>
          <w:tcPr>
            <w:tcW w:w="3261" w:type="dxa"/>
            <w:tcBorders>
              <w:top w:val="single" w:sz="4" w:space="0" w:color="auto"/>
            </w:tcBorders>
          </w:tcPr>
          <w:p w14:paraId="6E67414D" w14:textId="77777777" w:rsidR="00643561" w:rsidRPr="00E0736B" w:rsidRDefault="00643561" w:rsidP="00D105BA">
            <w:pPr>
              <w:pStyle w:val="Header"/>
              <w:tabs>
                <w:tab w:val="clear" w:pos="4153"/>
                <w:tab w:val="clear" w:pos="8306"/>
              </w:tabs>
              <w:rPr>
                <w:rFonts w:cs="Arial"/>
                <w:bCs/>
              </w:rPr>
            </w:pPr>
            <w:r w:rsidRPr="00E0736B">
              <w:rPr>
                <w:rFonts w:cs="Arial"/>
                <w:bCs/>
              </w:rPr>
              <w:t>Independent day school provision</w:t>
            </w:r>
          </w:p>
        </w:tc>
        <w:tc>
          <w:tcPr>
            <w:tcW w:w="1559" w:type="dxa"/>
            <w:tcBorders>
              <w:top w:val="single" w:sz="4" w:space="0" w:color="auto"/>
            </w:tcBorders>
            <w:vAlign w:val="bottom"/>
          </w:tcPr>
          <w:p w14:paraId="6E67414E" w14:textId="77777777" w:rsidR="00643561" w:rsidRPr="00420DD5" w:rsidRDefault="00643561" w:rsidP="00D105BA">
            <w:pPr>
              <w:jc w:val="right"/>
              <w:rPr>
                <w:rFonts w:ascii="Arial" w:hAnsi="Arial" w:cs="Arial"/>
                <w:highlight w:val="yellow"/>
              </w:rPr>
            </w:pPr>
          </w:p>
        </w:tc>
        <w:tc>
          <w:tcPr>
            <w:tcW w:w="1559" w:type="dxa"/>
            <w:tcBorders>
              <w:top w:val="single" w:sz="4" w:space="0" w:color="auto"/>
            </w:tcBorders>
          </w:tcPr>
          <w:p w14:paraId="6E67414F" w14:textId="1B0BDFB2" w:rsidR="00643561" w:rsidRPr="007A27F3" w:rsidRDefault="00FB0C79" w:rsidP="00643561">
            <w:pPr>
              <w:jc w:val="right"/>
              <w:rPr>
                <w:rFonts w:ascii="Arial" w:hAnsi="Arial" w:cs="Arial"/>
              </w:rPr>
            </w:pPr>
            <w:r w:rsidRPr="007A27F3">
              <w:rPr>
                <w:rFonts w:ascii="Arial" w:hAnsi="Arial" w:cs="Arial"/>
              </w:rPr>
              <w:t>6,</w:t>
            </w:r>
            <w:r w:rsidR="00F523E8" w:rsidRPr="007A27F3">
              <w:rPr>
                <w:rFonts w:ascii="Arial" w:hAnsi="Arial" w:cs="Arial"/>
              </w:rPr>
              <w:t>799</w:t>
            </w:r>
          </w:p>
        </w:tc>
        <w:tc>
          <w:tcPr>
            <w:tcW w:w="1558" w:type="dxa"/>
            <w:tcBorders>
              <w:top w:val="single" w:sz="4" w:space="0" w:color="auto"/>
            </w:tcBorders>
            <w:vAlign w:val="bottom"/>
          </w:tcPr>
          <w:p w14:paraId="6E674150" w14:textId="77777777" w:rsidR="00643561" w:rsidRPr="00420DD5" w:rsidRDefault="00643561" w:rsidP="00D105BA">
            <w:pPr>
              <w:jc w:val="right"/>
              <w:rPr>
                <w:rFonts w:ascii="Arial" w:hAnsi="Arial" w:cs="Arial"/>
                <w:highlight w:val="yellow"/>
              </w:rPr>
            </w:pPr>
          </w:p>
        </w:tc>
        <w:tc>
          <w:tcPr>
            <w:tcW w:w="1561" w:type="dxa"/>
            <w:tcBorders>
              <w:top w:val="single" w:sz="4" w:space="0" w:color="auto"/>
            </w:tcBorders>
          </w:tcPr>
          <w:p w14:paraId="6E674151" w14:textId="400CAA15" w:rsidR="00643561" w:rsidRPr="007A27F3" w:rsidRDefault="00FB0C79" w:rsidP="00FB0C79">
            <w:pPr>
              <w:jc w:val="right"/>
              <w:rPr>
                <w:rFonts w:ascii="Arial" w:hAnsi="Arial" w:cs="Arial"/>
              </w:rPr>
            </w:pPr>
            <w:r w:rsidRPr="007A27F3">
              <w:rPr>
                <w:rFonts w:ascii="Arial" w:hAnsi="Arial" w:cs="Arial"/>
              </w:rPr>
              <w:t>6,</w:t>
            </w:r>
            <w:r w:rsidR="00F523E8" w:rsidRPr="007A27F3">
              <w:rPr>
                <w:rFonts w:ascii="Arial" w:hAnsi="Arial" w:cs="Arial"/>
              </w:rPr>
              <w:t>799</w:t>
            </w:r>
          </w:p>
        </w:tc>
      </w:tr>
      <w:tr w:rsidR="002F1848" w:rsidRPr="00420DD5" w14:paraId="695C3739" w14:textId="77777777" w:rsidTr="00D105BA">
        <w:tc>
          <w:tcPr>
            <w:tcW w:w="3261" w:type="dxa"/>
            <w:tcBorders>
              <w:top w:val="single" w:sz="4" w:space="0" w:color="auto"/>
            </w:tcBorders>
          </w:tcPr>
          <w:p w14:paraId="7389B472" w14:textId="3F75EBDB" w:rsidR="002F1848" w:rsidRPr="00E0736B" w:rsidRDefault="002F1848" w:rsidP="00D105BA">
            <w:pPr>
              <w:pStyle w:val="Header"/>
              <w:tabs>
                <w:tab w:val="clear" w:pos="4153"/>
                <w:tab w:val="clear" w:pos="8306"/>
              </w:tabs>
              <w:rPr>
                <w:rFonts w:cs="Arial"/>
                <w:bCs/>
              </w:rPr>
            </w:pPr>
            <w:r w:rsidRPr="00E0736B">
              <w:rPr>
                <w:rFonts w:cs="Arial"/>
                <w:bCs/>
              </w:rPr>
              <w:t>SEN &amp; Early Help staffing</w:t>
            </w:r>
          </w:p>
        </w:tc>
        <w:tc>
          <w:tcPr>
            <w:tcW w:w="1559" w:type="dxa"/>
            <w:tcBorders>
              <w:top w:val="single" w:sz="4" w:space="0" w:color="auto"/>
            </w:tcBorders>
            <w:vAlign w:val="bottom"/>
          </w:tcPr>
          <w:p w14:paraId="04DC7ECA" w14:textId="77777777" w:rsidR="002F1848" w:rsidRPr="00420DD5" w:rsidRDefault="002F1848" w:rsidP="00D105BA">
            <w:pPr>
              <w:jc w:val="right"/>
              <w:rPr>
                <w:rFonts w:ascii="Arial" w:hAnsi="Arial" w:cs="Arial"/>
                <w:highlight w:val="yellow"/>
              </w:rPr>
            </w:pPr>
          </w:p>
        </w:tc>
        <w:tc>
          <w:tcPr>
            <w:tcW w:w="1559" w:type="dxa"/>
            <w:tcBorders>
              <w:top w:val="single" w:sz="4" w:space="0" w:color="auto"/>
            </w:tcBorders>
          </w:tcPr>
          <w:p w14:paraId="19F8CB26" w14:textId="1513CEFC" w:rsidR="002F1848" w:rsidRPr="007A27F3" w:rsidRDefault="002F1848" w:rsidP="00643561">
            <w:pPr>
              <w:jc w:val="right"/>
              <w:rPr>
                <w:rFonts w:ascii="Arial" w:hAnsi="Arial" w:cs="Arial"/>
              </w:rPr>
            </w:pPr>
            <w:r w:rsidRPr="007A27F3">
              <w:rPr>
                <w:rFonts w:ascii="Arial" w:hAnsi="Arial" w:cs="Arial"/>
              </w:rPr>
              <w:t>(80)</w:t>
            </w:r>
          </w:p>
        </w:tc>
        <w:tc>
          <w:tcPr>
            <w:tcW w:w="1558" w:type="dxa"/>
            <w:tcBorders>
              <w:top w:val="single" w:sz="4" w:space="0" w:color="auto"/>
            </w:tcBorders>
            <w:vAlign w:val="bottom"/>
          </w:tcPr>
          <w:p w14:paraId="78963A62" w14:textId="77777777" w:rsidR="002F1848" w:rsidRPr="00420DD5" w:rsidRDefault="002F1848" w:rsidP="00D105BA">
            <w:pPr>
              <w:jc w:val="right"/>
              <w:rPr>
                <w:rFonts w:ascii="Arial" w:hAnsi="Arial" w:cs="Arial"/>
                <w:highlight w:val="yellow"/>
              </w:rPr>
            </w:pPr>
          </w:p>
        </w:tc>
        <w:tc>
          <w:tcPr>
            <w:tcW w:w="1561" w:type="dxa"/>
            <w:tcBorders>
              <w:top w:val="single" w:sz="4" w:space="0" w:color="auto"/>
            </w:tcBorders>
          </w:tcPr>
          <w:p w14:paraId="364AA9AE" w14:textId="55E65ECE" w:rsidR="002F1848" w:rsidRPr="007A27F3" w:rsidRDefault="002F1848" w:rsidP="00FB0C79">
            <w:pPr>
              <w:jc w:val="right"/>
              <w:rPr>
                <w:rFonts w:ascii="Arial" w:hAnsi="Arial" w:cs="Arial"/>
              </w:rPr>
            </w:pPr>
            <w:r w:rsidRPr="007A27F3">
              <w:rPr>
                <w:rFonts w:ascii="Arial" w:hAnsi="Arial" w:cs="Arial"/>
              </w:rPr>
              <w:t>(80)</w:t>
            </w:r>
          </w:p>
        </w:tc>
      </w:tr>
      <w:tr w:rsidR="00643561" w:rsidRPr="00420DD5" w14:paraId="6E674158" w14:textId="77777777" w:rsidTr="00D105BA">
        <w:tc>
          <w:tcPr>
            <w:tcW w:w="3261" w:type="dxa"/>
            <w:tcBorders>
              <w:top w:val="single" w:sz="4" w:space="0" w:color="auto"/>
            </w:tcBorders>
          </w:tcPr>
          <w:p w14:paraId="6E674153" w14:textId="77777777" w:rsidR="00643561" w:rsidRPr="00E0736B" w:rsidRDefault="00643561" w:rsidP="00643561">
            <w:pPr>
              <w:pStyle w:val="Header"/>
              <w:tabs>
                <w:tab w:val="clear" w:pos="4153"/>
                <w:tab w:val="clear" w:pos="8306"/>
              </w:tabs>
              <w:rPr>
                <w:rFonts w:cs="Arial"/>
                <w:bCs/>
              </w:rPr>
            </w:pPr>
            <w:r w:rsidRPr="00E0736B">
              <w:rPr>
                <w:rFonts w:cs="Arial"/>
                <w:bCs/>
              </w:rPr>
              <w:t>Independent residential school provision</w:t>
            </w:r>
          </w:p>
        </w:tc>
        <w:tc>
          <w:tcPr>
            <w:tcW w:w="1559" w:type="dxa"/>
            <w:tcBorders>
              <w:top w:val="single" w:sz="4" w:space="0" w:color="auto"/>
            </w:tcBorders>
            <w:vAlign w:val="bottom"/>
          </w:tcPr>
          <w:p w14:paraId="6E674154" w14:textId="77777777" w:rsidR="00643561" w:rsidRPr="00420DD5" w:rsidRDefault="00643561" w:rsidP="00D105BA">
            <w:pPr>
              <w:jc w:val="right"/>
              <w:rPr>
                <w:rFonts w:ascii="Arial" w:hAnsi="Arial" w:cs="Arial"/>
                <w:highlight w:val="yellow"/>
              </w:rPr>
            </w:pPr>
          </w:p>
        </w:tc>
        <w:tc>
          <w:tcPr>
            <w:tcW w:w="1559" w:type="dxa"/>
            <w:tcBorders>
              <w:top w:val="single" w:sz="4" w:space="0" w:color="auto"/>
            </w:tcBorders>
          </w:tcPr>
          <w:p w14:paraId="6E674155" w14:textId="33BF1C21" w:rsidR="00643561" w:rsidRPr="007A27F3" w:rsidRDefault="00F523E8" w:rsidP="00D105BA">
            <w:pPr>
              <w:jc w:val="right"/>
              <w:rPr>
                <w:rFonts w:ascii="Arial" w:hAnsi="Arial" w:cs="Arial"/>
              </w:rPr>
            </w:pPr>
            <w:r w:rsidRPr="007A27F3">
              <w:rPr>
                <w:rFonts w:ascii="Arial" w:hAnsi="Arial" w:cs="Arial"/>
              </w:rPr>
              <w:t>(132</w:t>
            </w:r>
            <w:r w:rsidR="00643561" w:rsidRPr="007A27F3">
              <w:rPr>
                <w:rFonts w:ascii="Arial" w:hAnsi="Arial" w:cs="Arial"/>
              </w:rPr>
              <w:t>)</w:t>
            </w:r>
          </w:p>
        </w:tc>
        <w:tc>
          <w:tcPr>
            <w:tcW w:w="1558" w:type="dxa"/>
            <w:tcBorders>
              <w:top w:val="single" w:sz="4" w:space="0" w:color="auto"/>
            </w:tcBorders>
            <w:vAlign w:val="bottom"/>
          </w:tcPr>
          <w:p w14:paraId="6E674156" w14:textId="77777777" w:rsidR="00643561" w:rsidRPr="00420DD5" w:rsidRDefault="00643561" w:rsidP="00D105BA">
            <w:pPr>
              <w:jc w:val="right"/>
              <w:rPr>
                <w:rFonts w:ascii="Arial" w:hAnsi="Arial" w:cs="Arial"/>
                <w:highlight w:val="yellow"/>
              </w:rPr>
            </w:pPr>
          </w:p>
        </w:tc>
        <w:tc>
          <w:tcPr>
            <w:tcW w:w="1561" w:type="dxa"/>
            <w:tcBorders>
              <w:top w:val="single" w:sz="4" w:space="0" w:color="auto"/>
            </w:tcBorders>
          </w:tcPr>
          <w:p w14:paraId="6E674157" w14:textId="5F330568" w:rsidR="00643561" w:rsidRPr="007A27F3" w:rsidRDefault="008704E6" w:rsidP="00F523E8">
            <w:pPr>
              <w:jc w:val="right"/>
              <w:rPr>
                <w:rFonts w:ascii="Arial" w:hAnsi="Arial" w:cs="Arial"/>
              </w:rPr>
            </w:pPr>
            <w:r w:rsidRPr="007A27F3">
              <w:rPr>
                <w:rFonts w:ascii="Arial" w:hAnsi="Arial" w:cs="Arial"/>
              </w:rPr>
              <w:t>(</w:t>
            </w:r>
            <w:r w:rsidR="00FB0C79" w:rsidRPr="007A27F3">
              <w:rPr>
                <w:rFonts w:ascii="Arial" w:hAnsi="Arial" w:cs="Arial"/>
              </w:rPr>
              <w:t>13</w:t>
            </w:r>
            <w:r w:rsidR="00F523E8" w:rsidRPr="007A27F3">
              <w:rPr>
                <w:rFonts w:ascii="Arial" w:hAnsi="Arial" w:cs="Arial"/>
              </w:rPr>
              <w:t>2</w:t>
            </w:r>
            <w:r w:rsidRPr="007A27F3">
              <w:rPr>
                <w:rFonts w:ascii="Arial" w:hAnsi="Arial" w:cs="Arial"/>
              </w:rPr>
              <w:t>)</w:t>
            </w:r>
          </w:p>
        </w:tc>
      </w:tr>
      <w:tr w:rsidR="00643561" w:rsidRPr="00420DD5" w14:paraId="6E67415E" w14:textId="77777777" w:rsidTr="00D105BA">
        <w:tc>
          <w:tcPr>
            <w:tcW w:w="3261" w:type="dxa"/>
            <w:tcBorders>
              <w:top w:val="single" w:sz="4" w:space="0" w:color="auto"/>
            </w:tcBorders>
          </w:tcPr>
          <w:p w14:paraId="6E674159" w14:textId="77777777" w:rsidR="00643561" w:rsidRPr="00E0736B" w:rsidRDefault="00643561" w:rsidP="00D105BA">
            <w:pPr>
              <w:pStyle w:val="Header"/>
              <w:tabs>
                <w:tab w:val="clear" w:pos="4153"/>
                <w:tab w:val="clear" w:pos="8306"/>
              </w:tabs>
              <w:rPr>
                <w:rFonts w:cs="Arial"/>
                <w:bCs/>
              </w:rPr>
            </w:pPr>
            <w:r w:rsidRPr="00E0736B">
              <w:rPr>
                <w:rFonts w:cs="Arial"/>
                <w:bCs/>
              </w:rPr>
              <w:t>FE and post 16 ISP</w:t>
            </w:r>
          </w:p>
        </w:tc>
        <w:tc>
          <w:tcPr>
            <w:tcW w:w="1559" w:type="dxa"/>
            <w:tcBorders>
              <w:top w:val="single" w:sz="4" w:space="0" w:color="auto"/>
            </w:tcBorders>
            <w:vAlign w:val="bottom"/>
          </w:tcPr>
          <w:p w14:paraId="6E67415A" w14:textId="77777777" w:rsidR="00643561" w:rsidRPr="00420DD5" w:rsidRDefault="00643561" w:rsidP="00D105BA">
            <w:pPr>
              <w:jc w:val="right"/>
              <w:rPr>
                <w:rFonts w:ascii="Arial" w:hAnsi="Arial" w:cs="Arial"/>
                <w:highlight w:val="yellow"/>
              </w:rPr>
            </w:pPr>
          </w:p>
        </w:tc>
        <w:tc>
          <w:tcPr>
            <w:tcW w:w="1559" w:type="dxa"/>
            <w:tcBorders>
              <w:top w:val="single" w:sz="4" w:space="0" w:color="auto"/>
            </w:tcBorders>
          </w:tcPr>
          <w:p w14:paraId="6E67415B" w14:textId="4FE1969B" w:rsidR="00643561" w:rsidRPr="007A27F3" w:rsidRDefault="00F523E8" w:rsidP="00D105BA">
            <w:pPr>
              <w:jc w:val="right"/>
              <w:rPr>
                <w:rFonts w:ascii="Arial" w:hAnsi="Arial" w:cs="Arial"/>
              </w:rPr>
            </w:pPr>
            <w:r w:rsidRPr="007A27F3">
              <w:rPr>
                <w:rFonts w:ascii="Arial" w:hAnsi="Arial" w:cs="Arial"/>
              </w:rPr>
              <w:t>(</w:t>
            </w:r>
            <w:r w:rsidR="00FB0C79" w:rsidRPr="007A27F3">
              <w:rPr>
                <w:rFonts w:ascii="Arial" w:hAnsi="Arial" w:cs="Arial"/>
              </w:rPr>
              <w:t>1</w:t>
            </w:r>
            <w:r w:rsidRPr="007A27F3">
              <w:rPr>
                <w:rFonts w:ascii="Arial" w:hAnsi="Arial" w:cs="Arial"/>
              </w:rPr>
              <w:t>2)</w:t>
            </w:r>
          </w:p>
        </w:tc>
        <w:tc>
          <w:tcPr>
            <w:tcW w:w="1558" w:type="dxa"/>
            <w:tcBorders>
              <w:top w:val="single" w:sz="4" w:space="0" w:color="auto"/>
            </w:tcBorders>
            <w:vAlign w:val="bottom"/>
          </w:tcPr>
          <w:p w14:paraId="6E67415C" w14:textId="77777777" w:rsidR="00643561" w:rsidRPr="00420DD5" w:rsidRDefault="00643561" w:rsidP="00D105BA">
            <w:pPr>
              <w:jc w:val="right"/>
              <w:rPr>
                <w:rFonts w:ascii="Arial" w:hAnsi="Arial" w:cs="Arial"/>
                <w:highlight w:val="yellow"/>
              </w:rPr>
            </w:pPr>
          </w:p>
        </w:tc>
        <w:tc>
          <w:tcPr>
            <w:tcW w:w="1561" w:type="dxa"/>
            <w:tcBorders>
              <w:top w:val="single" w:sz="4" w:space="0" w:color="auto"/>
            </w:tcBorders>
          </w:tcPr>
          <w:p w14:paraId="6E67415D" w14:textId="23CE2F8E" w:rsidR="00643561" w:rsidRPr="007A27F3" w:rsidRDefault="00F523E8" w:rsidP="00F523E8">
            <w:pPr>
              <w:jc w:val="right"/>
              <w:rPr>
                <w:rFonts w:ascii="Arial" w:hAnsi="Arial" w:cs="Arial"/>
              </w:rPr>
            </w:pPr>
            <w:r w:rsidRPr="007A27F3">
              <w:rPr>
                <w:rFonts w:ascii="Arial" w:hAnsi="Arial" w:cs="Arial"/>
              </w:rPr>
              <w:t>(</w:t>
            </w:r>
            <w:r w:rsidR="00FB0C79" w:rsidRPr="007A27F3">
              <w:rPr>
                <w:rFonts w:ascii="Arial" w:hAnsi="Arial" w:cs="Arial"/>
              </w:rPr>
              <w:t>1</w:t>
            </w:r>
            <w:r w:rsidRPr="007A27F3">
              <w:rPr>
                <w:rFonts w:ascii="Arial" w:hAnsi="Arial" w:cs="Arial"/>
              </w:rPr>
              <w:t>2)</w:t>
            </w:r>
          </w:p>
        </w:tc>
      </w:tr>
      <w:tr w:rsidR="00643561" w:rsidRPr="00420DD5" w14:paraId="6E674164" w14:textId="77777777" w:rsidTr="00D105BA">
        <w:tc>
          <w:tcPr>
            <w:tcW w:w="3261" w:type="dxa"/>
            <w:tcBorders>
              <w:top w:val="single" w:sz="4" w:space="0" w:color="auto"/>
            </w:tcBorders>
          </w:tcPr>
          <w:p w14:paraId="6E67415F" w14:textId="77777777" w:rsidR="00643561" w:rsidRPr="00E0736B" w:rsidRDefault="008704E6" w:rsidP="00D105BA">
            <w:pPr>
              <w:pStyle w:val="Header"/>
              <w:tabs>
                <w:tab w:val="clear" w:pos="4153"/>
                <w:tab w:val="clear" w:pos="8306"/>
              </w:tabs>
              <w:rPr>
                <w:rFonts w:cs="Arial"/>
                <w:bCs/>
              </w:rPr>
            </w:pPr>
            <w:r w:rsidRPr="00E0736B">
              <w:rPr>
                <w:rFonts w:cs="Arial"/>
                <w:bCs/>
              </w:rPr>
              <w:lastRenderedPageBreak/>
              <w:t>Out of borough maintained school and academy places</w:t>
            </w:r>
          </w:p>
        </w:tc>
        <w:tc>
          <w:tcPr>
            <w:tcW w:w="1559" w:type="dxa"/>
            <w:tcBorders>
              <w:top w:val="single" w:sz="4" w:space="0" w:color="auto"/>
            </w:tcBorders>
            <w:vAlign w:val="bottom"/>
          </w:tcPr>
          <w:p w14:paraId="6E674160" w14:textId="77777777" w:rsidR="00643561" w:rsidRPr="00420DD5" w:rsidRDefault="00643561" w:rsidP="00D105BA">
            <w:pPr>
              <w:jc w:val="right"/>
              <w:rPr>
                <w:rFonts w:ascii="Arial" w:hAnsi="Arial" w:cs="Arial"/>
                <w:highlight w:val="yellow"/>
              </w:rPr>
            </w:pPr>
          </w:p>
        </w:tc>
        <w:tc>
          <w:tcPr>
            <w:tcW w:w="1559" w:type="dxa"/>
            <w:tcBorders>
              <w:top w:val="single" w:sz="4" w:space="0" w:color="auto"/>
            </w:tcBorders>
          </w:tcPr>
          <w:p w14:paraId="6E674161" w14:textId="60BA8F19" w:rsidR="00643561" w:rsidRPr="007A27F3" w:rsidRDefault="00F523E8" w:rsidP="00F523E8">
            <w:pPr>
              <w:jc w:val="right"/>
              <w:rPr>
                <w:rFonts w:ascii="Arial" w:hAnsi="Arial" w:cs="Arial"/>
              </w:rPr>
            </w:pPr>
            <w:r w:rsidRPr="007A27F3">
              <w:rPr>
                <w:rFonts w:ascii="Arial" w:hAnsi="Arial" w:cs="Arial"/>
              </w:rPr>
              <w:t>2</w:t>
            </w:r>
            <w:r w:rsidR="00FB0C79" w:rsidRPr="007A27F3">
              <w:rPr>
                <w:rFonts w:ascii="Arial" w:hAnsi="Arial" w:cs="Arial"/>
              </w:rPr>
              <w:t>,</w:t>
            </w:r>
            <w:r w:rsidRPr="007A27F3">
              <w:rPr>
                <w:rFonts w:ascii="Arial" w:hAnsi="Arial" w:cs="Arial"/>
              </w:rPr>
              <w:t>012</w:t>
            </w:r>
          </w:p>
        </w:tc>
        <w:tc>
          <w:tcPr>
            <w:tcW w:w="1558" w:type="dxa"/>
            <w:tcBorders>
              <w:top w:val="single" w:sz="4" w:space="0" w:color="auto"/>
            </w:tcBorders>
            <w:vAlign w:val="bottom"/>
          </w:tcPr>
          <w:p w14:paraId="6E674162" w14:textId="77777777" w:rsidR="00643561" w:rsidRPr="00420DD5" w:rsidRDefault="00643561" w:rsidP="00D105BA">
            <w:pPr>
              <w:jc w:val="right"/>
              <w:rPr>
                <w:rFonts w:ascii="Arial" w:hAnsi="Arial" w:cs="Arial"/>
                <w:highlight w:val="yellow"/>
              </w:rPr>
            </w:pPr>
          </w:p>
        </w:tc>
        <w:tc>
          <w:tcPr>
            <w:tcW w:w="1561" w:type="dxa"/>
            <w:tcBorders>
              <w:top w:val="single" w:sz="4" w:space="0" w:color="auto"/>
            </w:tcBorders>
          </w:tcPr>
          <w:p w14:paraId="6E674163" w14:textId="1C673EBA" w:rsidR="00643561" w:rsidRPr="007A27F3" w:rsidRDefault="00F523E8" w:rsidP="00F523E8">
            <w:pPr>
              <w:jc w:val="right"/>
              <w:rPr>
                <w:rFonts w:ascii="Arial" w:hAnsi="Arial" w:cs="Arial"/>
              </w:rPr>
            </w:pPr>
            <w:r w:rsidRPr="007A27F3">
              <w:rPr>
                <w:rFonts w:ascii="Arial" w:hAnsi="Arial" w:cs="Arial"/>
              </w:rPr>
              <w:t>2</w:t>
            </w:r>
            <w:r w:rsidR="00FB0C79" w:rsidRPr="007A27F3">
              <w:rPr>
                <w:rFonts w:ascii="Arial" w:hAnsi="Arial" w:cs="Arial"/>
              </w:rPr>
              <w:t>,</w:t>
            </w:r>
            <w:r w:rsidRPr="007A27F3">
              <w:rPr>
                <w:rFonts w:ascii="Arial" w:hAnsi="Arial" w:cs="Arial"/>
              </w:rPr>
              <w:t>012</w:t>
            </w:r>
          </w:p>
        </w:tc>
      </w:tr>
      <w:tr w:rsidR="00F44A44" w:rsidRPr="00420DD5" w14:paraId="6E67416A" w14:textId="77777777" w:rsidTr="00D105BA">
        <w:tc>
          <w:tcPr>
            <w:tcW w:w="3261" w:type="dxa"/>
            <w:tcBorders>
              <w:top w:val="single" w:sz="4" w:space="0" w:color="auto"/>
            </w:tcBorders>
          </w:tcPr>
          <w:p w14:paraId="6E674165" w14:textId="77777777" w:rsidR="00F44A44" w:rsidRPr="00E0736B" w:rsidRDefault="00643561" w:rsidP="00D105BA">
            <w:pPr>
              <w:pStyle w:val="Header"/>
              <w:tabs>
                <w:tab w:val="clear" w:pos="4153"/>
                <w:tab w:val="clear" w:pos="8306"/>
              </w:tabs>
              <w:rPr>
                <w:rFonts w:cs="Arial"/>
                <w:bCs/>
              </w:rPr>
            </w:pPr>
            <w:r w:rsidRPr="00E0736B">
              <w:rPr>
                <w:rFonts w:cs="Arial"/>
                <w:bCs/>
              </w:rPr>
              <w:t>Alternative education</w:t>
            </w:r>
          </w:p>
        </w:tc>
        <w:tc>
          <w:tcPr>
            <w:tcW w:w="1559" w:type="dxa"/>
            <w:tcBorders>
              <w:top w:val="single" w:sz="4" w:space="0" w:color="auto"/>
            </w:tcBorders>
            <w:vAlign w:val="bottom"/>
          </w:tcPr>
          <w:p w14:paraId="6E674166" w14:textId="77777777" w:rsidR="00F44A44" w:rsidRPr="00420DD5" w:rsidRDefault="00F44A44" w:rsidP="00D105BA">
            <w:pPr>
              <w:jc w:val="right"/>
              <w:rPr>
                <w:rFonts w:ascii="Arial" w:hAnsi="Arial" w:cs="Arial"/>
                <w:highlight w:val="yellow"/>
              </w:rPr>
            </w:pPr>
          </w:p>
        </w:tc>
        <w:tc>
          <w:tcPr>
            <w:tcW w:w="1559" w:type="dxa"/>
            <w:tcBorders>
              <w:top w:val="single" w:sz="4" w:space="0" w:color="auto"/>
            </w:tcBorders>
          </w:tcPr>
          <w:p w14:paraId="6E674167" w14:textId="4729FE16" w:rsidR="00F44A44" w:rsidRPr="007A27F3" w:rsidRDefault="00FB0C79" w:rsidP="00F523E8">
            <w:pPr>
              <w:jc w:val="right"/>
              <w:rPr>
                <w:rFonts w:ascii="Arial" w:hAnsi="Arial" w:cs="Arial"/>
              </w:rPr>
            </w:pPr>
            <w:r w:rsidRPr="007A27F3">
              <w:rPr>
                <w:rFonts w:ascii="Arial" w:hAnsi="Arial" w:cs="Arial"/>
              </w:rPr>
              <w:t>3</w:t>
            </w:r>
            <w:r w:rsidR="00F523E8" w:rsidRPr="007A27F3">
              <w:rPr>
                <w:rFonts w:ascii="Arial" w:hAnsi="Arial" w:cs="Arial"/>
              </w:rPr>
              <w:t>26</w:t>
            </w:r>
          </w:p>
        </w:tc>
        <w:tc>
          <w:tcPr>
            <w:tcW w:w="1558" w:type="dxa"/>
            <w:tcBorders>
              <w:top w:val="single" w:sz="4" w:space="0" w:color="auto"/>
            </w:tcBorders>
            <w:vAlign w:val="bottom"/>
          </w:tcPr>
          <w:p w14:paraId="6E674168" w14:textId="77777777" w:rsidR="00F44A44" w:rsidRPr="00420DD5" w:rsidRDefault="00F44A44" w:rsidP="00D105BA">
            <w:pPr>
              <w:jc w:val="right"/>
              <w:rPr>
                <w:rFonts w:ascii="Arial" w:hAnsi="Arial" w:cs="Arial"/>
                <w:highlight w:val="yellow"/>
              </w:rPr>
            </w:pPr>
          </w:p>
        </w:tc>
        <w:tc>
          <w:tcPr>
            <w:tcW w:w="1561" w:type="dxa"/>
            <w:tcBorders>
              <w:top w:val="single" w:sz="4" w:space="0" w:color="auto"/>
            </w:tcBorders>
          </w:tcPr>
          <w:p w14:paraId="6E674169" w14:textId="2A8F3288" w:rsidR="00F44A44" w:rsidRPr="007A27F3" w:rsidRDefault="008704E6" w:rsidP="00F523E8">
            <w:pPr>
              <w:jc w:val="right"/>
              <w:rPr>
                <w:rFonts w:ascii="Arial" w:hAnsi="Arial" w:cs="Arial"/>
              </w:rPr>
            </w:pPr>
            <w:r w:rsidRPr="007A27F3">
              <w:rPr>
                <w:rFonts w:ascii="Arial" w:hAnsi="Arial" w:cs="Arial"/>
              </w:rPr>
              <w:t>3</w:t>
            </w:r>
            <w:r w:rsidR="00F523E8" w:rsidRPr="007A27F3">
              <w:rPr>
                <w:rFonts w:ascii="Arial" w:hAnsi="Arial" w:cs="Arial"/>
              </w:rPr>
              <w:t>26</w:t>
            </w:r>
          </w:p>
        </w:tc>
      </w:tr>
      <w:tr w:rsidR="00643561" w:rsidRPr="00420DD5" w14:paraId="6E674170" w14:textId="77777777" w:rsidTr="00D105BA">
        <w:tc>
          <w:tcPr>
            <w:tcW w:w="3261" w:type="dxa"/>
            <w:tcBorders>
              <w:top w:val="single" w:sz="4" w:space="0" w:color="auto"/>
            </w:tcBorders>
          </w:tcPr>
          <w:p w14:paraId="6E67416B" w14:textId="77777777" w:rsidR="00643561" w:rsidRPr="00E0736B" w:rsidRDefault="00643561" w:rsidP="00D105BA">
            <w:pPr>
              <w:pStyle w:val="Header"/>
              <w:tabs>
                <w:tab w:val="clear" w:pos="4153"/>
                <w:tab w:val="clear" w:pos="8306"/>
              </w:tabs>
              <w:rPr>
                <w:rFonts w:cs="Arial"/>
                <w:bCs/>
              </w:rPr>
            </w:pPr>
            <w:r w:rsidRPr="00E0736B">
              <w:rPr>
                <w:rFonts w:cs="Arial"/>
                <w:bCs/>
              </w:rPr>
              <w:t>SEN statement payments to Merton academies</w:t>
            </w:r>
          </w:p>
        </w:tc>
        <w:tc>
          <w:tcPr>
            <w:tcW w:w="1559" w:type="dxa"/>
            <w:tcBorders>
              <w:top w:val="single" w:sz="4" w:space="0" w:color="auto"/>
            </w:tcBorders>
            <w:vAlign w:val="bottom"/>
          </w:tcPr>
          <w:p w14:paraId="6E67416C" w14:textId="77777777" w:rsidR="00643561" w:rsidRPr="00420DD5" w:rsidRDefault="00643561" w:rsidP="00D105BA">
            <w:pPr>
              <w:jc w:val="right"/>
              <w:rPr>
                <w:rFonts w:ascii="Arial" w:hAnsi="Arial" w:cs="Arial"/>
                <w:highlight w:val="yellow"/>
              </w:rPr>
            </w:pPr>
          </w:p>
        </w:tc>
        <w:tc>
          <w:tcPr>
            <w:tcW w:w="1559" w:type="dxa"/>
            <w:tcBorders>
              <w:top w:val="single" w:sz="4" w:space="0" w:color="auto"/>
            </w:tcBorders>
          </w:tcPr>
          <w:p w14:paraId="6E67416D" w14:textId="12B83BB8" w:rsidR="00643561" w:rsidRPr="007A27F3" w:rsidRDefault="00FB0C79" w:rsidP="00F523E8">
            <w:pPr>
              <w:jc w:val="right"/>
              <w:rPr>
                <w:rFonts w:ascii="Arial" w:hAnsi="Arial" w:cs="Arial"/>
              </w:rPr>
            </w:pPr>
            <w:r w:rsidRPr="007A27F3">
              <w:rPr>
                <w:rFonts w:ascii="Arial" w:hAnsi="Arial" w:cs="Arial"/>
              </w:rPr>
              <w:t>28</w:t>
            </w:r>
            <w:r w:rsidR="00F523E8" w:rsidRPr="007A27F3">
              <w:rPr>
                <w:rFonts w:ascii="Arial" w:hAnsi="Arial" w:cs="Arial"/>
              </w:rPr>
              <w:t>6</w:t>
            </w:r>
          </w:p>
        </w:tc>
        <w:tc>
          <w:tcPr>
            <w:tcW w:w="1558" w:type="dxa"/>
            <w:tcBorders>
              <w:top w:val="single" w:sz="4" w:space="0" w:color="auto"/>
            </w:tcBorders>
            <w:vAlign w:val="bottom"/>
          </w:tcPr>
          <w:p w14:paraId="6E67416E" w14:textId="77777777" w:rsidR="00643561" w:rsidRPr="00420DD5" w:rsidRDefault="00643561" w:rsidP="00D105BA">
            <w:pPr>
              <w:jc w:val="right"/>
              <w:rPr>
                <w:rFonts w:ascii="Arial" w:hAnsi="Arial" w:cs="Arial"/>
                <w:highlight w:val="yellow"/>
              </w:rPr>
            </w:pPr>
          </w:p>
        </w:tc>
        <w:tc>
          <w:tcPr>
            <w:tcW w:w="1561" w:type="dxa"/>
            <w:tcBorders>
              <w:top w:val="single" w:sz="4" w:space="0" w:color="auto"/>
            </w:tcBorders>
          </w:tcPr>
          <w:p w14:paraId="6E67416F" w14:textId="28E07351" w:rsidR="00643561" w:rsidRPr="007A27F3" w:rsidRDefault="00FB0C79" w:rsidP="00F523E8">
            <w:pPr>
              <w:jc w:val="right"/>
              <w:rPr>
                <w:rFonts w:ascii="Arial" w:hAnsi="Arial" w:cs="Arial"/>
              </w:rPr>
            </w:pPr>
            <w:r w:rsidRPr="007A27F3">
              <w:rPr>
                <w:rFonts w:ascii="Arial" w:hAnsi="Arial" w:cs="Arial"/>
              </w:rPr>
              <w:t>28</w:t>
            </w:r>
            <w:r w:rsidR="00F523E8" w:rsidRPr="007A27F3">
              <w:rPr>
                <w:rFonts w:ascii="Arial" w:hAnsi="Arial" w:cs="Arial"/>
              </w:rPr>
              <w:t>6</w:t>
            </w:r>
          </w:p>
        </w:tc>
      </w:tr>
      <w:tr w:rsidR="00A66555" w:rsidRPr="00420DD5" w14:paraId="673E3B9C" w14:textId="77777777" w:rsidTr="00D105BA">
        <w:tc>
          <w:tcPr>
            <w:tcW w:w="3261" w:type="dxa"/>
            <w:tcBorders>
              <w:top w:val="single" w:sz="4" w:space="0" w:color="auto"/>
            </w:tcBorders>
          </w:tcPr>
          <w:p w14:paraId="52841283" w14:textId="782DFB36" w:rsidR="00A66555" w:rsidRPr="00E0736B" w:rsidRDefault="00E36E2A" w:rsidP="00E36E2A">
            <w:pPr>
              <w:pStyle w:val="Header"/>
              <w:tabs>
                <w:tab w:val="clear" w:pos="4153"/>
                <w:tab w:val="clear" w:pos="8306"/>
              </w:tabs>
              <w:rPr>
                <w:rFonts w:cs="Arial"/>
                <w:bCs/>
              </w:rPr>
            </w:pPr>
            <w:r w:rsidRPr="00E0736B">
              <w:rPr>
                <w:rFonts w:cs="Arial"/>
                <w:bCs/>
              </w:rPr>
              <w:t>Recoupment income</w:t>
            </w:r>
          </w:p>
        </w:tc>
        <w:tc>
          <w:tcPr>
            <w:tcW w:w="1559" w:type="dxa"/>
            <w:tcBorders>
              <w:top w:val="single" w:sz="4" w:space="0" w:color="auto"/>
            </w:tcBorders>
            <w:vAlign w:val="bottom"/>
          </w:tcPr>
          <w:p w14:paraId="2FC70282" w14:textId="77777777" w:rsidR="00A66555" w:rsidRPr="00420DD5" w:rsidRDefault="00A66555" w:rsidP="00D105BA">
            <w:pPr>
              <w:jc w:val="right"/>
              <w:rPr>
                <w:rFonts w:ascii="Arial" w:hAnsi="Arial" w:cs="Arial"/>
                <w:highlight w:val="yellow"/>
              </w:rPr>
            </w:pPr>
          </w:p>
        </w:tc>
        <w:tc>
          <w:tcPr>
            <w:tcW w:w="1559" w:type="dxa"/>
            <w:tcBorders>
              <w:top w:val="single" w:sz="4" w:space="0" w:color="auto"/>
            </w:tcBorders>
          </w:tcPr>
          <w:p w14:paraId="00B803AE" w14:textId="29D7B145" w:rsidR="00A66555" w:rsidRPr="007A27F3" w:rsidRDefault="00F523E8" w:rsidP="00E0736B">
            <w:pPr>
              <w:jc w:val="right"/>
              <w:rPr>
                <w:rFonts w:ascii="Arial" w:hAnsi="Arial" w:cs="Arial"/>
              </w:rPr>
            </w:pPr>
            <w:r w:rsidRPr="007A27F3">
              <w:rPr>
                <w:rFonts w:ascii="Arial" w:hAnsi="Arial" w:cs="Arial"/>
              </w:rPr>
              <w:t>(24</w:t>
            </w:r>
            <w:r w:rsidR="00E0736B" w:rsidRPr="007A27F3">
              <w:rPr>
                <w:rFonts w:ascii="Arial" w:hAnsi="Arial" w:cs="Arial"/>
              </w:rPr>
              <w:t>2</w:t>
            </w:r>
            <w:r w:rsidR="00A66555" w:rsidRPr="007A27F3">
              <w:rPr>
                <w:rFonts w:ascii="Arial" w:hAnsi="Arial" w:cs="Arial"/>
              </w:rPr>
              <w:t>)</w:t>
            </w:r>
          </w:p>
        </w:tc>
        <w:tc>
          <w:tcPr>
            <w:tcW w:w="1558" w:type="dxa"/>
            <w:tcBorders>
              <w:top w:val="single" w:sz="4" w:space="0" w:color="auto"/>
            </w:tcBorders>
            <w:vAlign w:val="bottom"/>
          </w:tcPr>
          <w:p w14:paraId="2E71E482" w14:textId="77777777" w:rsidR="00A66555" w:rsidRPr="00420DD5" w:rsidRDefault="00A66555" w:rsidP="00D105BA">
            <w:pPr>
              <w:jc w:val="right"/>
              <w:rPr>
                <w:rFonts w:ascii="Arial" w:hAnsi="Arial" w:cs="Arial"/>
                <w:highlight w:val="yellow"/>
              </w:rPr>
            </w:pPr>
          </w:p>
        </w:tc>
        <w:tc>
          <w:tcPr>
            <w:tcW w:w="1561" w:type="dxa"/>
            <w:tcBorders>
              <w:top w:val="single" w:sz="4" w:space="0" w:color="auto"/>
            </w:tcBorders>
          </w:tcPr>
          <w:p w14:paraId="62580ED7" w14:textId="45ED4668" w:rsidR="00A66555" w:rsidRPr="007A27F3" w:rsidRDefault="00F523E8" w:rsidP="00F523E8">
            <w:pPr>
              <w:jc w:val="right"/>
              <w:rPr>
                <w:rFonts w:ascii="Arial" w:hAnsi="Arial" w:cs="Arial"/>
              </w:rPr>
            </w:pPr>
            <w:r w:rsidRPr="007A27F3">
              <w:rPr>
                <w:rFonts w:ascii="Arial" w:hAnsi="Arial" w:cs="Arial"/>
              </w:rPr>
              <w:t>(</w:t>
            </w:r>
            <w:r w:rsidR="000C5D71" w:rsidRPr="007A27F3">
              <w:rPr>
                <w:rFonts w:ascii="Arial" w:hAnsi="Arial" w:cs="Arial"/>
              </w:rPr>
              <w:t>2</w:t>
            </w:r>
            <w:r w:rsidR="007A27F3">
              <w:rPr>
                <w:rFonts w:ascii="Arial" w:hAnsi="Arial" w:cs="Arial"/>
              </w:rPr>
              <w:t>42</w:t>
            </w:r>
            <w:r w:rsidR="000C5D71" w:rsidRPr="007A27F3">
              <w:rPr>
                <w:rFonts w:ascii="Arial" w:hAnsi="Arial" w:cs="Arial"/>
              </w:rPr>
              <w:t>)</w:t>
            </w:r>
          </w:p>
        </w:tc>
      </w:tr>
      <w:tr w:rsidR="00FE531C" w:rsidRPr="00420DD5" w14:paraId="79F3A78B" w14:textId="77777777" w:rsidTr="00D105BA">
        <w:tc>
          <w:tcPr>
            <w:tcW w:w="3261" w:type="dxa"/>
            <w:tcBorders>
              <w:top w:val="single" w:sz="4" w:space="0" w:color="auto"/>
            </w:tcBorders>
          </w:tcPr>
          <w:p w14:paraId="010B9E5B" w14:textId="012ABBF1" w:rsidR="00FE531C" w:rsidRPr="00E0736B" w:rsidRDefault="00FE531C" w:rsidP="00E36E2A">
            <w:pPr>
              <w:pStyle w:val="Header"/>
              <w:tabs>
                <w:tab w:val="clear" w:pos="4153"/>
                <w:tab w:val="clear" w:pos="8306"/>
              </w:tabs>
              <w:rPr>
                <w:rFonts w:cs="Arial"/>
                <w:bCs/>
              </w:rPr>
            </w:pPr>
            <w:r w:rsidRPr="00E0736B">
              <w:rPr>
                <w:rFonts w:cs="Arial"/>
                <w:bCs/>
              </w:rPr>
              <w:t>Sensory Team</w:t>
            </w:r>
          </w:p>
        </w:tc>
        <w:tc>
          <w:tcPr>
            <w:tcW w:w="1559" w:type="dxa"/>
            <w:tcBorders>
              <w:top w:val="single" w:sz="4" w:space="0" w:color="auto"/>
            </w:tcBorders>
            <w:vAlign w:val="bottom"/>
          </w:tcPr>
          <w:p w14:paraId="35C6C946" w14:textId="77777777" w:rsidR="00FE531C" w:rsidRPr="00420DD5" w:rsidRDefault="00FE531C" w:rsidP="00D105BA">
            <w:pPr>
              <w:jc w:val="right"/>
              <w:rPr>
                <w:rFonts w:ascii="Arial" w:hAnsi="Arial" w:cs="Arial"/>
                <w:highlight w:val="yellow"/>
              </w:rPr>
            </w:pPr>
          </w:p>
        </w:tc>
        <w:tc>
          <w:tcPr>
            <w:tcW w:w="1559" w:type="dxa"/>
            <w:tcBorders>
              <w:top w:val="single" w:sz="4" w:space="0" w:color="auto"/>
            </w:tcBorders>
          </w:tcPr>
          <w:p w14:paraId="26244F76" w14:textId="25F3F344" w:rsidR="00FE531C" w:rsidRPr="007A27F3" w:rsidRDefault="00FE531C" w:rsidP="00D105BA">
            <w:pPr>
              <w:jc w:val="right"/>
              <w:rPr>
                <w:rFonts w:ascii="Arial" w:hAnsi="Arial" w:cs="Arial"/>
              </w:rPr>
            </w:pPr>
            <w:r w:rsidRPr="007A27F3">
              <w:rPr>
                <w:rFonts w:ascii="Arial" w:hAnsi="Arial" w:cs="Arial"/>
              </w:rPr>
              <w:t>(22)</w:t>
            </w:r>
          </w:p>
        </w:tc>
        <w:tc>
          <w:tcPr>
            <w:tcW w:w="1558" w:type="dxa"/>
            <w:tcBorders>
              <w:top w:val="single" w:sz="4" w:space="0" w:color="auto"/>
            </w:tcBorders>
            <w:vAlign w:val="bottom"/>
          </w:tcPr>
          <w:p w14:paraId="5A091651" w14:textId="77777777" w:rsidR="00FE531C" w:rsidRPr="00420DD5" w:rsidRDefault="00FE531C" w:rsidP="00D105BA">
            <w:pPr>
              <w:jc w:val="right"/>
              <w:rPr>
                <w:rFonts w:ascii="Arial" w:hAnsi="Arial" w:cs="Arial"/>
                <w:highlight w:val="yellow"/>
              </w:rPr>
            </w:pPr>
          </w:p>
        </w:tc>
        <w:tc>
          <w:tcPr>
            <w:tcW w:w="1561" w:type="dxa"/>
            <w:tcBorders>
              <w:top w:val="single" w:sz="4" w:space="0" w:color="auto"/>
            </w:tcBorders>
          </w:tcPr>
          <w:p w14:paraId="29AA00F6" w14:textId="3F030758" w:rsidR="00FE531C" w:rsidRPr="007A27F3" w:rsidRDefault="007A27F3" w:rsidP="00D105BA">
            <w:pPr>
              <w:jc w:val="right"/>
              <w:rPr>
                <w:rFonts w:ascii="Arial" w:hAnsi="Arial" w:cs="Arial"/>
              </w:rPr>
            </w:pPr>
            <w:r w:rsidRPr="007A27F3">
              <w:rPr>
                <w:rFonts w:ascii="Arial" w:hAnsi="Arial" w:cs="Arial"/>
              </w:rPr>
              <w:t>(22)</w:t>
            </w:r>
          </w:p>
        </w:tc>
      </w:tr>
      <w:tr w:rsidR="00DF7374" w:rsidRPr="00420DD5" w14:paraId="31E0C8F8" w14:textId="77777777" w:rsidTr="00D105BA">
        <w:tc>
          <w:tcPr>
            <w:tcW w:w="3261" w:type="dxa"/>
            <w:tcBorders>
              <w:top w:val="single" w:sz="4" w:space="0" w:color="auto"/>
            </w:tcBorders>
          </w:tcPr>
          <w:p w14:paraId="425D659F" w14:textId="4C87D0D0" w:rsidR="00DF7374" w:rsidRPr="00E0736B" w:rsidRDefault="00DF7374" w:rsidP="004D1B64">
            <w:pPr>
              <w:pStyle w:val="Header"/>
              <w:tabs>
                <w:tab w:val="clear" w:pos="4153"/>
                <w:tab w:val="clear" w:pos="8306"/>
              </w:tabs>
              <w:rPr>
                <w:rFonts w:cs="Arial"/>
                <w:bCs/>
              </w:rPr>
            </w:pPr>
            <w:r w:rsidRPr="00E0736B">
              <w:rPr>
                <w:rFonts w:cs="Arial"/>
                <w:bCs/>
              </w:rPr>
              <w:t xml:space="preserve">Language and </w:t>
            </w:r>
            <w:r w:rsidR="004D1B64" w:rsidRPr="00E0736B">
              <w:rPr>
                <w:rFonts w:cs="Arial"/>
                <w:bCs/>
              </w:rPr>
              <w:t>learning t</w:t>
            </w:r>
            <w:r w:rsidRPr="00E0736B">
              <w:rPr>
                <w:rFonts w:cs="Arial"/>
                <w:bCs/>
              </w:rPr>
              <w:t>eam</w:t>
            </w:r>
          </w:p>
        </w:tc>
        <w:tc>
          <w:tcPr>
            <w:tcW w:w="1559" w:type="dxa"/>
            <w:tcBorders>
              <w:top w:val="single" w:sz="4" w:space="0" w:color="auto"/>
            </w:tcBorders>
            <w:vAlign w:val="bottom"/>
          </w:tcPr>
          <w:p w14:paraId="14105324" w14:textId="77777777" w:rsidR="00DF7374" w:rsidRPr="00420DD5" w:rsidRDefault="00DF7374" w:rsidP="00D105BA">
            <w:pPr>
              <w:jc w:val="right"/>
              <w:rPr>
                <w:rFonts w:ascii="Arial" w:hAnsi="Arial" w:cs="Arial"/>
                <w:highlight w:val="yellow"/>
              </w:rPr>
            </w:pPr>
          </w:p>
        </w:tc>
        <w:tc>
          <w:tcPr>
            <w:tcW w:w="1559" w:type="dxa"/>
            <w:tcBorders>
              <w:top w:val="single" w:sz="4" w:space="0" w:color="auto"/>
            </w:tcBorders>
          </w:tcPr>
          <w:p w14:paraId="51523F67" w14:textId="25126DA0" w:rsidR="00DF7374" w:rsidRPr="007A27F3" w:rsidRDefault="00DF7374" w:rsidP="00E0736B">
            <w:pPr>
              <w:jc w:val="right"/>
              <w:rPr>
                <w:rFonts w:ascii="Arial" w:hAnsi="Arial" w:cs="Arial"/>
              </w:rPr>
            </w:pPr>
            <w:r w:rsidRPr="007A27F3">
              <w:rPr>
                <w:rFonts w:ascii="Arial" w:hAnsi="Arial" w:cs="Arial"/>
              </w:rPr>
              <w:t>2</w:t>
            </w:r>
            <w:r w:rsidR="00E0736B" w:rsidRPr="007A27F3">
              <w:rPr>
                <w:rFonts w:ascii="Arial" w:hAnsi="Arial" w:cs="Arial"/>
              </w:rPr>
              <w:t>40</w:t>
            </w:r>
          </w:p>
        </w:tc>
        <w:tc>
          <w:tcPr>
            <w:tcW w:w="1558" w:type="dxa"/>
            <w:tcBorders>
              <w:top w:val="single" w:sz="4" w:space="0" w:color="auto"/>
            </w:tcBorders>
            <w:vAlign w:val="bottom"/>
          </w:tcPr>
          <w:p w14:paraId="5B573C84" w14:textId="77777777" w:rsidR="00DF7374" w:rsidRPr="00420DD5" w:rsidRDefault="00DF7374" w:rsidP="00D105BA">
            <w:pPr>
              <w:jc w:val="right"/>
              <w:rPr>
                <w:rFonts w:ascii="Arial" w:hAnsi="Arial" w:cs="Arial"/>
                <w:highlight w:val="yellow"/>
              </w:rPr>
            </w:pPr>
          </w:p>
        </w:tc>
        <w:tc>
          <w:tcPr>
            <w:tcW w:w="1561" w:type="dxa"/>
            <w:tcBorders>
              <w:top w:val="single" w:sz="4" w:space="0" w:color="auto"/>
            </w:tcBorders>
          </w:tcPr>
          <w:p w14:paraId="3CB97596" w14:textId="6B485DDA" w:rsidR="00DF7374" w:rsidRPr="007A27F3" w:rsidRDefault="000C5D71" w:rsidP="00D105BA">
            <w:pPr>
              <w:jc w:val="right"/>
              <w:rPr>
                <w:rFonts w:ascii="Arial" w:hAnsi="Arial" w:cs="Arial"/>
              </w:rPr>
            </w:pPr>
            <w:r w:rsidRPr="007A27F3">
              <w:rPr>
                <w:rFonts w:ascii="Arial" w:hAnsi="Arial" w:cs="Arial"/>
              </w:rPr>
              <w:t>2</w:t>
            </w:r>
            <w:r w:rsidR="007A27F3">
              <w:rPr>
                <w:rFonts w:ascii="Arial" w:hAnsi="Arial" w:cs="Arial"/>
              </w:rPr>
              <w:t>40</w:t>
            </w:r>
          </w:p>
        </w:tc>
      </w:tr>
      <w:tr w:rsidR="005E2F0B" w:rsidRPr="00420DD5" w14:paraId="6E674176" w14:textId="77777777" w:rsidTr="00F41D5A">
        <w:tc>
          <w:tcPr>
            <w:tcW w:w="3261" w:type="dxa"/>
            <w:tcBorders>
              <w:top w:val="single" w:sz="4" w:space="0" w:color="auto"/>
            </w:tcBorders>
          </w:tcPr>
          <w:p w14:paraId="6E674171" w14:textId="5884E7D1" w:rsidR="005E2F0B" w:rsidRPr="00E0736B" w:rsidRDefault="004D1B64" w:rsidP="005C1000">
            <w:pPr>
              <w:pStyle w:val="Header"/>
              <w:tabs>
                <w:tab w:val="clear" w:pos="4153"/>
                <w:tab w:val="clear" w:pos="8306"/>
              </w:tabs>
              <w:rPr>
                <w:rFonts w:cs="Arial"/>
                <w:bCs/>
              </w:rPr>
            </w:pPr>
            <w:r w:rsidRPr="00E0736B">
              <w:rPr>
                <w:rFonts w:cs="Arial"/>
                <w:bCs/>
              </w:rPr>
              <w:t>Early y</w:t>
            </w:r>
            <w:r w:rsidR="00F41D5A" w:rsidRPr="00E0736B">
              <w:rPr>
                <w:rFonts w:cs="Arial"/>
                <w:bCs/>
              </w:rPr>
              <w:t>ears support team</w:t>
            </w:r>
          </w:p>
        </w:tc>
        <w:tc>
          <w:tcPr>
            <w:tcW w:w="1559" w:type="dxa"/>
            <w:tcBorders>
              <w:top w:val="single" w:sz="4" w:space="0" w:color="auto"/>
            </w:tcBorders>
            <w:vAlign w:val="bottom"/>
          </w:tcPr>
          <w:p w14:paraId="6E674172" w14:textId="77777777" w:rsidR="005E2F0B" w:rsidRPr="00E0736B" w:rsidRDefault="005E2F0B" w:rsidP="0046274E">
            <w:pPr>
              <w:jc w:val="right"/>
              <w:rPr>
                <w:rFonts w:ascii="Arial" w:hAnsi="Arial" w:cs="Arial"/>
              </w:rPr>
            </w:pPr>
          </w:p>
        </w:tc>
        <w:tc>
          <w:tcPr>
            <w:tcW w:w="1559" w:type="dxa"/>
            <w:tcBorders>
              <w:top w:val="single" w:sz="4" w:space="0" w:color="auto"/>
            </w:tcBorders>
          </w:tcPr>
          <w:p w14:paraId="6E674173" w14:textId="77777777" w:rsidR="005E2F0B" w:rsidRPr="007A27F3" w:rsidRDefault="005E2F0B" w:rsidP="005C1000">
            <w:pPr>
              <w:jc w:val="right"/>
              <w:rPr>
                <w:rFonts w:ascii="Arial" w:hAnsi="Arial" w:cs="Arial"/>
              </w:rPr>
            </w:pPr>
          </w:p>
        </w:tc>
        <w:tc>
          <w:tcPr>
            <w:tcW w:w="1558" w:type="dxa"/>
            <w:tcBorders>
              <w:top w:val="single" w:sz="4" w:space="0" w:color="auto"/>
            </w:tcBorders>
          </w:tcPr>
          <w:p w14:paraId="6E674174" w14:textId="342BADA4" w:rsidR="005E2F0B" w:rsidRPr="00E0736B" w:rsidRDefault="00643561" w:rsidP="00DF7374">
            <w:pPr>
              <w:jc w:val="right"/>
              <w:rPr>
                <w:rFonts w:ascii="Arial" w:hAnsi="Arial" w:cs="Arial"/>
              </w:rPr>
            </w:pPr>
            <w:r w:rsidRPr="00E0736B">
              <w:rPr>
                <w:rFonts w:ascii="Arial" w:hAnsi="Arial" w:cs="Arial"/>
              </w:rPr>
              <w:t>(</w:t>
            </w:r>
            <w:r w:rsidR="00F523E8" w:rsidRPr="00E0736B">
              <w:rPr>
                <w:rFonts w:ascii="Arial" w:hAnsi="Arial" w:cs="Arial"/>
              </w:rPr>
              <w:t>56</w:t>
            </w:r>
            <w:r w:rsidR="004E2D0C" w:rsidRPr="00E0736B">
              <w:rPr>
                <w:rFonts w:ascii="Arial" w:hAnsi="Arial" w:cs="Arial"/>
              </w:rPr>
              <w:t>)</w:t>
            </w:r>
          </w:p>
        </w:tc>
        <w:tc>
          <w:tcPr>
            <w:tcW w:w="1561" w:type="dxa"/>
            <w:tcBorders>
              <w:top w:val="single" w:sz="4" w:space="0" w:color="auto"/>
            </w:tcBorders>
          </w:tcPr>
          <w:p w14:paraId="6E674175" w14:textId="6B3B924F" w:rsidR="005E2F0B" w:rsidRPr="007A27F3" w:rsidRDefault="00F41D5A" w:rsidP="008704E6">
            <w:pPr>
              <w:jc w:val="right"/>
              <w:rPr>
                <w:rFonts w:ascii="Arial" w:hAnsi="Arial" w:cs="Arial"/>
              </w:rPr>
            </w:pPr>
            <w:r w:rsidRPr="007A27F3">
              <w:rPr>
                <w:rFonts w:ascii="Arial" w:hAnsi="Arial" w:cs="Arial"/>
              </w:rPr>
              <w:t>(</w:t>
            </w:r>
            <w:r w:rsidR="00F523E8" w:rsidRPr="007A27F3">
              <w:rPr>
                <w:rFonts w:ascii="Arial" w:hAnsi="Arial" w:cs="Arial"/>
              </w:rPr>
              <w:t>56</w:t>
            </w:r>
            <w:r w:rsidRPr="007A27F3">
              <w:rPr>
                <w:rFonts w:ascii="Arial" w:hAnsi="Arial" w:cs="Arial"/>
              </w:rPr>
              <w:t>)</w:t>
            </w:r>
          </w:p>
        </w:tc>
      </w:tr>
      <w:tr w:rsidR="00144791" w:rsidRPr="00420DD5" w14:paraId="6E67417C" w14:textId="77777777" w:rsidTr="00D105BA">
        <w:tc>
          <w:tcPr>
            <w:tcW w:w="3261" w:type="dxa"/>
            <w:tcBorders>
              <w:bottom w:val="single" w:sz="6" w:space="0" w:color="auto"/>
            </w:tcBorders>
          </w:tcPr>
          <w:p w14:paraId="6E674177" w14:textId="77777777" w:rsidR="00144791" w:rsidRPr="00E0736B" w:rsidRDefault="00144791" w:rsidP="00CA12E5">
            <w:pPr>
              <w:pStyle w:val="Header"/>
              <w:tabs>
                <w:tab w:val="clear" w:pos="4153"/>
                <w:tab w:val="clear" w:pos="8306"/>
              </w:tabs>
              <w:rPr>
                <w:rFonts w:cs="Arial"/>
                <w:bCs/>
              </w:rPr>
            </w:pPr>
            <w:r w:rsidRPr="00E0736B">
              <w:rPr>
                <w:rFonts w:cs="Arial"/>
              </w:rPr>
              <w:t>P</w:t>
            </w:r>
            <w:r w:rsidR="00CA12E5" w:rsidRPr="00E0736B">
              <w:rPr>
                <w:rFonts w:cs="Arial"/>
              </w:rPr>
              <w:t>arenting cover</w:t>
            </w:r>
          </w:p>
        </w:tc>
        <w:tc>
          <w:tcPr>
            <w:tcW w:w="1559" w:type="dxa"/>
            <w:tcBorders>
              <w:bottom w:val="single" w:sz="6" w:space="0" w:color="auto"/>
            </w:tcBorders>
          </w:tcPr>
          <w:p w14:paraId="6E674178" w14:textId="08E6801C" w:rsidR="00144791" w:rsidRPr="00E0736B" w:rsidRDefault="00984B5A" w:rsidP="00643561">
            <w:pPr>
              <w:jc w:val="right"/>
              <w:rPr>
                <w:rFonts w:ascii="Arial" w:hAnsi="Arial" w:cs="Arial"/>
              </w:rPr>
            </w:pPr>
            <w:r w:rsidRPr="00E0736B">
              <w:rPr>
                <w:rFonts w:ascii="Arial" w:hAnsi="Arial" w:cs="Arial"/>
              </w:rPr>
              <w:t>(</w:t>
            </w:r>
            <w:r w:rsidR="00F523E8" w:rsidRPr="00E0736B">
              <w:rPr>
                <w:rFonts w:ascii="Arial" w:hAnsi="Arial" w:cs="Arial"/>
              </w:rPr>
              <w:t>222</w:t>
            </w:r>
            <w:r w:rsidR="00144791" w:rsidRPr="00E0736B">
              <w:rPr>
                <w:rFonts w:ascii="Arial" w:hAnsi="Arial" w:cs="Arial"/>
              </w:rPr>
              <w:t>)</w:t>
            </w:r>
          </w:p>
        </w:tc>
        <w:tc>
          <w:tcPr>
            <w:tcW w:w="1559" w:type="dxa"/>
            <w:tcBorders>
              <w:bottom w:val="single" w:sz="6" w:space="0" w:color="auto"/>
            </w:tcBorders>
          </w:tcPr>
          <w:p w14:paraId="6E674179" w14:textId="77777777" w:rsidR="00144791" w:rsidRPr="007A27F3" w:rsidRDefault="00144791" w:rsidP="00D105BA">
            <w:pPr>
              <w:jc w:val="right"/>
              <w:rPr>
                <w:rFonts w:ascii="Arial" w:hAnsi="Arial" w:cs="Arial"/>
              </w:rPr>
            </w:pPr>
          </w:p>
        </w:tc>
        <w:tc>
          <w:tcPr>
            <w:tcW w:w="1558" w:type="dxa"/>
            <w:tcBorders>
              <w:bottom w:val="single" w:sz="6" w:space="0" w:color="auto"/>
            </w:tcBorders>
          </w:tcPr>
          <w:p w14:paraId="6E67417A" w14:textId="77777777" w:rsidR="00144791" w:rsidRPr="00E0736B" w:rsidRDefault="00144791" w:rsidP="00D105BA">
            <w:pPr>
              <w:jc w:val="right"/>
              <w:rPr>
                <w:rFonts w:ascii="Arial" w:hAnsi="Arial" w:cs="Arial"/>
              </w:rPr>
            </w:pPr>
          </w:p>
        </w:tc>
        <w:tc>
          <w:tcPr>
            <w:tcW w:w="1561" w:type="dxa"/>
            <w:tcBorders>
              <w:bottom w:val="single" w:sz="6" w:space="0" w:color="auto"/>
            </w:tcBorders>
          </w:tcPr>
          <w:p w14:paraId="6E67417B" w14:textId="4DA6F045" w:rsidR="00144791" w:rsidRPr="007A27F3" w:rsidRDefault="00984B5A" w:rsidP="008704E6">
            <w:pPr>
              <w:jc w:val="right"/>
              <w:rPr>
                <w:rFonts w:ascii="Arial" w:hAnsi="Arial" w:cs="Arial"/>
              </w:rPr>
            </w:pPr>
            <w:r w:rsidRPr="007A27F3">
              <w:rPr>
                <w:rFonts w:ascii="Arial" w:hAnsi="Arial" w:cs="Arial"/>
              </w:rPr>
              <w:t>(</w:t>
            </w:r>
            <w:r w:rsidR="00F523E8" w:rsidRPr="007A27F3">
              <w:rPr>
                <w:rFonts w:ascii="Arial" w:hAnsi="Arial" w:cs="Arial"/>
              </w:rPr>
              <w:t>222</w:t>
            </w:r>
            <w:r w:rsidR="00F41D5A" w:rsidRPr="007A27F3">
              <w:rPr>
                <w:rFonts w:ascii="Arial" w:hAnsi="Arial" w:cs="Arial"/>
              </w:rPr>
              <w:t>)</w:t>
            </w:r>
          </w:p>
        </w:tc>
      </w:tr>
      <w:tr w:rsidR="00E0736B" w:rsidRPr="00420DD5" w14:paraId="0F05E57D" w14:textId="77777777" w:rsidTr="00D105BA">
        <w:tc>
          <w:tcPr>
            <w:tcW w:w="3261" w:type="dxa"/>
            <w:tcBorders>
              <w:bottom w:val="single" w:sz="6" w:space="0" w:color="auto"/>
            </w:tcBorders>
          </w:tcPr>
          <w:p w14:paraId="510D12E3" w14:textId="1A06F66D" w:rsidR="00E0736B" w:rsidRPr="00E0736B" w:rsidRDefault="00E0736B" w:rsidP="00CA12E5">
            <w:pPr>
              <w:pStyle w:val="Header"/>
              <w:tabs>
                <w:tab w:val="clear" w:pos="4153"/>
                <w:tab w:val="clear" w:pos="8306"/>
              </w:tabs>
              <w:rPr>
                <w:rFonts w:cs="Arial"/>
              </w:rPr>
            </w:pPr>
            <w:r w:rsidRPr="00E0736B">
              <w:rPr>
                <w:rFonts w:cs="Arial"/>
              </w:rPr>
              <w:t>Schools causing concern</w:t>
            </w:r>
          </w:p>
        </w:tc>
        <w:tc>
          <w:tcPr>
            <w:tcW w:w="1559" w:type="dxa"/>
            <w:tcBorders>
              <w:bottom w:val="single" w:sz="6" w:space="0" w:color="auto"/>
            </w:tcBorders>
          </w:tcPr>
          <w:p w14:paraId="7D9A70B1" w14:textId="355D70D3" w:rsidR="00E0736B" w:rsidRPr="00E0736B" w:rsidRDefault="00E0736B" w:rsidP="00643561">
            <w:pPr>
              <w:jc w:val="right"/>
              <w:rPr>
                <w:rFonts w:ascii="Arial" w:hAnsi="Arial" w:cs="Arial"/>
              </w:rPr>
            </w:pPr>
            <w:r w:rsidRPr="00E0736B">
              <w:rPr>
                <w:rFonts w:ascii="Arial" w:hAnsi="Arial" w:cs="Arial"/>
              </w:rPr>
              <w:t>(194)</w:t>
            </w:r>
          </w:p>
        </w:tc>
        <w:tc>
          <w:tcPr>
            <w:tcW w:w="1559" w:type="dxa"/>
            <w:tcBorders>
              <w:bottom w:val="single" w:sz="6" w:space="0" w:color="auto"/>
            </w:tcBorders>
          </w:tcPr>
          <w:p w14:paraId="28E23B86" w14:textId="77777777" w:rsidR="00E0736B" w:rsidRPr="007A27F3" w:rsidRDefault="00E0736B" w:rsidP="00D105BA">
            <w:pPr>
              <w:jc w:val="right"/>
              <w:rPr>
                <w:rFonts w:ascii="Arial" w:hAnsi="Arial" w:cs="Arial"/>
              </w:rPr>
            </w:pPr>
          </w:p>
        </w:tc>
        <w:tc>
          <w:tcPr>
            <w:tcW w:w="1558" w:type="dxa"/>
            <w:tcBorders>
              <w:bottom w:val="single" w:sz="6" w:space="0" w:color="auto"/>
            </w:tcBorders>
          </w:tcPr>
          <w:p w14:paraId="0A125C06" w14:textId="77777777" w:rsidR="00E0736B" w:rsidRPr="00E0736B" w:rsidRDefault="00E0736B" w:rsidP="00D105BA">
            <w:pPr>
              <w:jc w:val="right"/>
              <w:rPr>
                <w:rFonts w:ascii="Arial" w:hAnsi="Arial" w:cs="Arial"/>
              </w:rPr>
            </w:pPr>
          </w:p>
        </w:tc>
        <w:tc>
          <w:tcPr>
            <w:tcW w:w="1561" w:type="dxa"/>
            <w:tcBorders>
              <w:bottom w:val="single" w:sz="6" w:space="0" w:color="auto"/>
            </w:tcBorders>
          </w:tcPr>
          <w:p w14:paraId="7D610B92" w14:textId="20CD6E89" w:rsidR="00E0736B" w:rsidRPr="007A27F3" w:rsidRDefault="007A27F3" w:rsidP="008704E6">
            <w:pPr>
              <w:jc w:val="right"/>
              <w:rPr>
                <w:rFonts w:ascii="Arial" w:hAnsi="Arial" w:cs="Arial"/>
              </w:rPr>
            </w:pPr>
            <w:r w:rsidRPr="007A27F3">
              <w:rPr>
                <w:rFonts w:ascii="Arial" w:hAnsi="Arial" w:cs="Arial"/>
              </w:rPr>
              <w:t>(194)</w:t>
            </w:r>
          </w:p>
        </w:tc>
      </w:tr>
      <w:tr w:rsidR="004C1A79" w:rsidRPr="00420DD5" w14:paraId="6E674182" w14:textId="77777777" w:rsidTr="004C1A79">
        <w:tc>
          <w:tcPr>
            <w:tcW w:w="3261" w:type="dxa"/>
            <w:tcBorders>
              <w:bottom w:val="single" w:sz="6" w:space="0" w:color="auto"/>
            </w:tcBorders>
          </w:tcPr>
          <w:p w14:paraId="6E67417D" w14:textId="332D070A" w:rsidR="004C1A79" w:rsidRPr="00E0736B" w:rsidRDefault="004C1A79" w:rsidP="004C1A79">
            <w:pPr>
              <w:pStyle w:val="Header"/>
              <w:tabs>
                <w:tab w:val="clear" w:pos="4153"/>
                <w:tab w:val="clear" w:pos="8306"/>
              </w:tabs>
              <w:rPr>
                <w:rFonts w:cs="Arial"/>
                <w:bCs/>
              </w:rPr>
            </w:pPr>
            <w:r w:rsidRPr="00E0736B">
              <w:rPr>
                <w:rFonts w:cs="Arial"/>
              </w:rPr>
              <w:t xml:space="preserve">Other small over and </w:t>
            </w:r>
            <w:r w:rsidR="00FE531C" w:rsidRPr="00E0736B">
              <w:rPr>
                <w:rFonts w:cs="Arial"/>
              </w:rPr>
              <w:t>(</w:t>
            </w:r>
            <w:r w:rsidRPr="00E0736B">
              <w:rPr>
                <w:rFonts w:cs="Arial"/>
              </w:rPr>
              <w:t>under</w:t>
            </w:r>
            <w:r w:rsidR="00FE531C" w:rsidRPr="00E0736B">
              <w:rPr>
                <w:rFonts w:cs="Arial"/>
              </w:rPr>
              <w:t xml:space="preserve">) </w:t>
            </w:r>
            <w:r w:rsidRPr="00E0736B">
              <w:rPr>
                <w:rFonts w:cs="Arial"/>
              </w:rPr>
              <w:t>spends</w:t>
            </w:r>
          </w:p>
        </w:tc>
        <w:tc>
          <w:tcPr>
            <w:tcW w:w="1559" w:type="dxa"/>
            <w:tcBorders>
              <w:bottom w:val="single" w:sz="6" w:space="0" w:color="auto"/>
            </w:tcBorders>
          </w:tcPr>
          <w:p w14:paraId="6E67417E" w14:textId="3DED8F99" w:rsidR="004C1A79" w:rsidRPr="00E0736B" w:rsidRDefault="00643561" w:rsidP="00DF7374">
            <w:pPr>
              <w:jc w:val="right"/>
              <w:rPr>
                <w:rFonts w:ascii="Arial" w:hAnsi="Arial" w:cs="Arial"/>
              </w:rPr>
            </w:pPr>
            <w:r w:rsidRPr="00E0736B">
              <w:rPr>
                <w:rFonts w:ascii="Arial" w:hAnsi="Arial" w:cs="Arial"/>
              </w:rPr>
              <w:t>(</w:t>
            </w:r>
            <w:r w:rsidR="00F523E8" w:rsidRPr="00E0736B">
              <w:rPr>
                <w:rFonts w:ascii="Arial" w:hAnsi="Arial" w:cs="Arial"/>
              </w:rPr>
              <w:t>108</w:t>
            </w:r>
            <w:r w:rsidR="00984B5A" w:rsidRPr="00E0736B">
              <w:rPr>
                <w:rFonts w:ascii="Arial" w:hAnsi="Arial" w:cs="Arial"/>
              </w:rPr>
              <w:t>)</w:t>
            </w:r>
          </w:p>
        </w:tc>
        <w:tc>
          <w:tcPr>
            <w:tcW w:w="1559" w:type="dxa"/>
            <w:tcBorders>
              <w:bottom w:val="single" w:sz="6" w:space="0" w:color="auto"/>
            </w:tcBorders>
          </w:tcPr>
          <w:p w14:paraId="6E67417F" w14:textId="427F2D18" w:rsidR="004C1A79" w:rsidRPr="007A27F3" w:rsidRDefault="00F523E8" w:rsidP="002F1848">
            <w:pPr>
              <w:jc w:val="right"/>
              <w:rPr>
                <w:rFonts w:ascii="Arial" w:hAnsi="Arial" w:cs="Arial"/>
              </w:rPr>
            </w:pPr>
            <w:r w:rsidRPr="007A27F3">
              <w:rPr>
                <w:rFonts w:ascii="Arial" w:hAnsi="Arial" w:cs="Arial"/>
              </w:rPr>
              <w:t>(1</w:t>
            </w:r>
            <w:r w:rsidR="002F1848" w:rsidRPr="007A27F3">
              <w:rPr>
                <w:rFonts w:ascii="Arial" w:hAnsi="Arial" w:cs="Arial"/>
              </w:rPr>
              <w:t>9</w:t>
            </w:r>
            <w:r w:rsidRPr="007A27F3">
              <w:rPr>
                <w:rFonts w:ascii="Arial" w:hAnsi="Arial" w:cs="Arial"/>
              </w:rPr>
              <w:t>8</w:t>
            </w:r>
            <w:r w:rsidR="002F1848" w:rsidRPr="007A27F3">
              <w:rPr>
                <w:rFonts w:ascii="Arial" w:hAnsi="Arial" w:cs="Arial"/>
              </w:rPr>
              <w:t>)</w:t>
            </w:r>
          </w:p>
        </w:tc>
        <w:tc>
          <w:tcPr>
            <w:tcW w:w="1558" w:type="dxa"/>
            <w:tcBorders>
              <w:bottom w:val="single" w:sz="6" w:space="0" w:color="auto"/>
            </w:tcBorders>
          </w:tcPr>
          <w:p w14:paraId="6E674180" w14:textId="77777777" w:rsidR="004C1A79" w:rsidRPr="00E0736B" w:rsidRDefault="004C1A79" w:rsidP="004C1A79">
            <w:pPr>
              <w:jc w:val="right"/>
              <w:rPr>
                <w:rFonts w:ascii="Arial" w:hAnsi="Arial" w:cs="Arial"/>
              </w:rPr>
            </w:pPr>
          </w:p>
        </w:tc>
        <w:tc>
          <w:tcPr>
            <w:tcW w:w="1561" w:type="dxa"/>
            <w:tcBorders>
              <w:bottom w:val="single" w:sz="6" w:space="0" w:color="auto"/>
            </w:tcBorders>
          </w:tcPr>
          <w:p w14:paraId="6E674181" w14:textId="6C28E3CF" w:rsidR="004C1A79" w:rsidRPr="007A27F3" w:rsidRDefault="00984B5A" w:rsidP="007A27F3">
            <w:pPr>
              <w:jc w:val="right"/>
              <w:rPr>
                <w:rFonts w:ascii="Arial" w:hAnsi="Arial" w:cs="Arial"/>
              </w:rPr>
            </w:pPr>
            <w:r w:rsidRPr="007A27F3">
              <w:rPr>
                <w:rFonts w:ascii="Arial" w:hAnsi="Arial" w:cs="Arial"/>
              </w:rPr>
              <w:t>(</w:t>
            </w:r>
            <w:r w:rsidR="007A27F3" w:rsidRPr="007A27F3">
              <w:rPr>
                <w:rFonts w:ascii="Arial" w:hAnsi="Arial" w:cs="Arial"/>
              </w:rPr>
              <w:t>306</w:t>
            </w:r>
            <w:r w:rsidR="00F41D5A" w:rsidRPr="007A27F3">
              <w:rPr>
                <w:rFonts w:ascii="Arial" w:hAnsi="Arial" w:cs="Arial"/>
              </w:rPr>
              <w:t>)</w:t>
            </w:r>
          </w:p>
        </w:tc>
      </w:tr>
      <w:tr w:rsidR="00C128EE" w:rsidRPr="00420DD5" w14:paraId="6E674188" w14:textId="77777777" w:rsidTr="004C1A79">
        <w:tc>
          <w:tcPr>
            <w:tcW w:w="3261" w:type="dxa"/>
            <w:shd w:val="clear" w:color="auto" w:fill="4F81BD" w:themeFill="accent1"/>
          </w:tcPr>
          <w:p w14:paraId="6E674183" w14:textId="77777777" w:rsidR="00C128EE" w:rsidRPr="00E0736B" w:rsidRDefault="00C128EE" w:rsidP="005C46BA">
            <w:pPr>
              <w:pStyle w:val="Header"/>
              <w:tabs>
                <w:tab w:val="clear" w:pos="4153"/>
                <w:tab w:val="clear" w:pos="8306"/>
              </w:tabs>
              <w:rPr>
                <w:rFonts w:cs="Arial"/>
                <w:b/>
                <w:bCs/>
              </w:rPr>
            </w:pPr>
            <w:r w:rsidRPr="00E0736B">
              <w:rPr>
                <w:rFonts w:cs="Arial"/>
                <w:b/>
                <w:bCs/>
              </w:rPr>
              <w:t>Retained Items</w:t>
            </w:r>
          </w:p>
        </w:tc>
        <w:tc>
          <w:tcPr>
            <w:tcW w:w="1559" w:type="dxa"/>
            <w:shd w:val="clear" w:color="auto" w:fill="4F81BD" w:themeFill="accent1"/>
            <w:vAlign w:val="bottom"/>
          </w:tcPr>
          <w:p w14:paraId="6E674184" w14:textId="4F7CA7FA" w:rsidR="00C128EE" w:rsidRPr="00E0736B" w:rsidRDefault="004F666E" w:rsidP="00E0736B">
            <w:pPr>
              <w:jc w:val="right"/>
              <w:rPr>
                <w:rFonts w:ascii="Arial" w:hAnsi="Arial" w:cs="Arial"/>
                <w:b/>
              </w:rPr>
            </w:pPr>
            <w:r w:rsidRPr="00E0736B">
              <w:rPr>
                <w:rFonts w:ascii="Arial" w:hAnsi="Arial" w:cs="Arial"/>
                <w:b/>
              </w:rPr>
              <w:t>(</w:t>
            </w:r>
            <w:r w:rsidR="00E0736B" w:rsidRPr="00E0736B">
              <w:rPr>
                <w:rFonts w:ascii="Arial" w:hAnsi="Arial" w:cs="Arial"/>
                <w:b/>
              </w:rPr>
              <w:t>524</w:t>
            </w:r>
            <w:r w:rsidR="001429C1" w:rsidRPr="00E0736B">
              <w:rPr>
                <w:rFonts w:ascii="Arial" w:hAnsi="Arial" w:cs="Arial"/>
                <w:b/>
              </w:rPr>
              <w:t>)</w:t>
            </w:r>
          </w:p>
        </w:tc>
        <w:tc>
          <w:tcPr>
            <w:tcW w:w="1559" w:type="dxa"/>
            <w:shd w:val="clear" w:color="auto" w:fill="4F81BD" w:themeFill="accent1"/>
            <w:vAlign w:val="bottom"/>
          </w:tcPr>
          <w:p w14:paraId="6E674185" w14:textId="007CEFB2" w:rsidR="00C128EE" w:rsidRPr="007A27F3" w:rsidRDefault="00FB0C79" w:rsidP="00F523E8">
            <w:pPr>
              <w:jc w:val="right"/>
              <w:rPr>
                <w:rFonts w:ascii="Arial" w:hAnsi="Arial" w:cs="Arial"/>
                <w:b/>
              </w:rPr>
            </w:pPr>
            <w:r w:rsidRPr="007A27F3">
              <w:rPr>
                <w:rFonts w:ascii="Arial" w:hAnsi="Arial" w:cs="Arial"/>
                <w:b/>
              </w:rPr>
              <w:t>10,</w:t>
            </w:r>
            <w:r w:rsidR="00216C52" w:rsidRPr="007A27F3">
              <w:rPr>
                <w:rFonts w:ascii="Arial" w:hAnsi="Arial" w:cs="Arial"/>
                <w:b/>
              </w:rPr>
              <w:t>4</w:t>
            </w:r>
            <w:r w:rsidR="00F523E8" w:rsidRPr="007A27F3">
              <w:rPr>
                <w:rFonts w:ascii="Arial" w:hAnsi="Arial" w:cs="Arial"/>
                <w:b/>
              </w:rPr>
              <w:t>66</w:t>
            </w:r>
          </w:p>
        </w:tc>
        <w:tc>
          <w:tcPr>
            <w:tcW w:w="1558" w:type="dxa"/>
            <w:shd w:val="clear" w:color="auto" w:fill="4F81BD" w:themeFill="accent1"/>
            <w:vAlign w:val="bottom"/>
          </w:tcPr>
          <w:p w14:paraId="6E674186" w14:textId="62717994" w:rsidR="00C128EE" w:rsidRPr="00E0736B" w:rsidRDefault="0046274E" w:rsidP="00F523E8">
            <w:pPr>
              <w:jc w:val="right"/>
              <w:rPr>
                <w:rFonts w:ascii="Arial" w:hAnsi="Arial" w:cs="Arial"/>
                <w:b/>
              </w:rPr>
            </w:pPr>
            <w:r w:rsidRPr="00E0736B">
              <w:rPr>
                <w:rFonts w:ascii="Arial" w:hAnsi="Arial" w:cs="Arial"/>
                <w:b/>
              </w:rPr>
              <w:t>(</w:t>
            </w:r>
            <w:r w:rsidR="00DF7374" w:rsidRPr="00E0736B">
              <w:rPr>
                <w:rFonts w:ascii="Arial" w:hAnsi="Arial" w:cs="Arial"/>
                <w:b/>
              </w:rPr>
              <w:t>5</w:t>
            </w:r>
            <w:r w:rsidR="00F523E8" w:rsidRPr="00E0736B">
              <w:rPr>
                <w:rFonts w:ascii="Arial" w:hAnsi="Arial" w:cs="Arial"/>
                <w:b/>
              </w:rPr>
              <w:t>6</w:t>
            </w:r>
            <w:r w:rsidR="00C128EE" w:rsidRPr="00E0736B">
              <w:rPr>
                <w:rFonts w:ascii="Arial" w:hAnsi="Arial" w:cs="Arial"/>
                <w:b/>
              </w:rPr>
              <w:t>)</w:t>
            </w:r>
          </w:p>
        </w:tc>
        <w:tc>
          <w:tcPr>
            <w:tcW w:w="1561" w:type="dxa"/>
            <w:shd w:val="clear" w:color="auto" w:fill="4F81BD" w:themeFill="accent1"/>
            <w:vAlign w:val="bottom"/>
          </w:tcPr>
          <w:p w14:paraId="6E674187" w14:textId="35F23AF0" w:rsidR="00C128EE" w:rsidRPr="007A27F3" w:rsidRDefault="00F523E8" w:rsidP="00F523E8">
            <w:pPr>
              <w:jc w:val="right"/>
              <w:rPr>
                <w:rFonts w:ascii="Arial" w:hAnsi="Arial" w:cs="Arial"/>
                <w:b/>
              </w:rPr>
            </w:pPr>
            <w:r w:rsidRPr="007A27F3">
              <w:rPr>
                <w:rFonts w:ascii="Arial" w:hAnsi="Arial" w:cs="Arial"/>
                <w:b/>
              </w:rPr>
              <w:t>9,886</w:t>
            </w:r>
          </w:p>
        </w:tc>
      </w:tr>
      <w:tr w:rsidR="00C128EE" w:rsidRPr="00420DD5" w14:paraId="6E67418E" w14:textId="77777777" w:rsidTr="00B762F5">
        <w:tc>
          <w:tcPr>
            <w:tcW w:w="3261" w:type="dxa"/>
            <w:tcBorders>
              <w:top w:val="single" w:sz="6" w:space="0" w:color="auto"/>
              <w:left w:val="single" w:sz="6" w:space="0" w:color="auto"/>
              <w:bottom w:val="single" w:sz="6" w:space="0" w:color="auto"/>
              <w:right w:val="single" w:sz="6" w:space="0" w:color="auto"/>
            </w:tcBorders>
            <w:shd w:val="clear" w:color="auto" w:fill="4F81BD" w:themeFill="accent1"/>
          </w:tcPr>
          <w:p w14:paraId="6E674189" w14:textId="77777777" w:rsidR="00C128EE" w:rsidRPr="00E0736B" w:rsidRDefault="00C128EE" w:rsidP="005C46BA">
            <w:pPr>
              <w:pStyle w:val="Header"/>
              <w:tabs>
                <w:tab w:val="clear" w:pos="4153"/>
                <w:tab w:val="clear" w:pos="8306"/>
              </w:tabs>
              <w:rPr>
                <w:rFonts w:cs="Arial"/>
                <w:b/>
              </w:rPr>
            </w:pPr>
            <w:r w:rsidRPr="00E0736B">
              <w:rPr>
                <w:rFonts w:cs="Arial"/>
                <w:b/>
              </w:rPr>
              <w:t xml:space="preserve">Total </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14:paraId="6E67418A" w14:textId="77E52223" w:rsidR="00C128EE" w:rsidRPr="00E0736B" w:rsidRDefault="00F523E8" w:rsidP="005C46BA">
            <w:pPr>
              <w:jc w:val="right"/>
              <w:rPr>
                <w:rFonts w:ascii="Arial" w:hAnsi="Arial" w:cs="Arial"/>
                <w:b/>
              </w:rPr>
            </w:pPr>
            <w:r w:rsidRPr="00E0736B">
              <w:rPr>
                <w:rFonts w:ascii="Arial" w:hAnsi="Arial" w:cs="Arial"/>
                <w:b/>
              </w:rPr>
              <w:t>(86</w:t>
            </w:r>
            <w:r w:rsidR="00FB0C79" w:rsidRPr="00E0736B">
              <w:rPr>
                <w:rFonts w:ascii="Arial" w:hAnsi="Arial" w:cs="Arial"/>
                <w:b/>
              </w:rPr>
              <w:t>4</w:t>
            </w:r>
            <w:r w:rsidR="004F666E" w:rsidRPr="00E0736B">
              <w:rPr>
                <w:rFonts w:ascii="Arial" w:hAnsi="Arial" w:cs="Arial"/>
                <w:b/>
              </w:rPr>
              <w:t>)</w:t>
            </w:r>
          </w:p>
        </w:tc>
        <w:tc>
          <w:tcPr>
            <w:tcW w:w="1559"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14:paraId="6E67418B" w14:textId="34F26AE6" w:rsidR="00C128EE" w:rsidRPr="007A27F3" w:rsidRDefault="00F523E8" w:rsidP="00F523E8">
            <w:pPr>
              <w:jc w:val="right"/>
              <w:rPr>
                <w:rFonts w:ascii="Arial" w:hAnsi="Arial" w:cs="Arial"/>
                <w:b/>
              </w:rPr>
            </w:pPr>
            <w:r w:rsidRPr="007A27F3">
              <w:rPr>
                <w:rFonts w:ascii="Arial" w:hAnsi="Arial" w:cs="Arial"/>
                <w:b/>
              </w:rPr>
              <w:t>11,</w:t>
            </w:r>
            <w:r w:rsidR="00FB0C79" w:rsidRPr="007A27F3">
              <w:rPr>
                <w:rFonts w:ascii="Arial" w:hAnsi="Arial" w:cs="Arial"/>
                <w:b/>
              </w:rPr>
              <w:t>3</w:t>
            </w:r>
            <w:r w:rsidRPr="007A27F3">
              <w:rPr>
                <w:rFonts w:ascii="Arial" w:hAnsi="Arial" w:cs="Arial"/>
                <w:b/>
              </w:rPr>
              <w:t>22</w:t>
            </w:r>
          </w:p>
        </w:tc>
        <w:tc>
          <w:tcPr>
            <w:tcW w:w="1558"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14:paraId="6E67418C" w14:textId="6B2C70F3" w:rsidR="00C128EE" w:rsidRPr="00E0736B" w:rsidRDefault="00C128EE" w:rsidP="00FB0C79">
            <w:pPr>
              <w:jc w:val="right"/>
              <w:rPr>
                <w:rFonts w:ascii="Arial" w:hAnsi="Arial" w:cs="Arial"/>
                <w:b/>
              </w:rPr>
            </w:pPr>
            <w:r w:rsidRPr="00E0736B">
              <w:rPr>
                <w:rFonts w:ascii="Arial" w:hAnsi="Arial" w:cs="Arial"/>
                <w:b/>
              </w:rPr>
              <w:t>(</w:t>
            </w:r>
            <w:r w:rsidR="00F523E8" w:rsidRPr="00E0736B">
              <w:rPr>
                <w:rFonts w:ascii="Arial" w:hAnsi="Arial" w:cs="Arial"/>
                <w:b/>
              </w:rPr>
              <w:t>636</w:t>
            </w:r>
            <w:r w:rsidRPr="00E0736B">
              <w:rPr>
                <w:rFonts w:ascii="Arial" w:hAnsi="Arial" w:cs="Arial"/>
                <w:b/>
              </w:rPr>
              <w:t>)</w:t>
            </w:r>
          </w:p>
        </w:tc>
        <w:tc>
          <w:tcPr>
            <w:tcW w:w="1561" w:type="dxa"/>
            <w:tcBorders>
              <w:top w:val="single" w:sz="6" w:space="0" w:color="auto"/>
              <w:left w:val="single" w:sz="6" w:space="0" w:color="auto"/>
              <w:bottom w:val="single" w:sz="6" w:space="0" w:color="auto"/>
              <w:right w:val="single" w:sz="6" w:space="0" w:color="auto"/>
            </w:tcBorders>
            <w:shd w:val="clear" w:color="auto" w:fill="4F81BD" w:themeFill="accent1"/>
            <w:vAlign w:val="bottom"/>
          </w:tcPr>
          <w:p w14:paraId="6E67418D" w14:textId="7BEA9104" w:rsidR="00C128EE" w:rsidRPr="007A27F3" w:rsidRDefault="00F523E8" w:rsidP="00213F8C">
            <w:pPr>
              <w:jc w:val="right"/>
              <w:rPr>
                <w:rFonts w:ascii="Arial" w:hAnsi="Arial" w:cs="Arial"/>
                <w:b/>
              </w:rPr>
            </w:pPr>
            <w:r w:rsidRPr="007A27F3">
              <w:rPr>
                <w:rFonts w:ascii="Arial" w:hAnsi="Arial" w:cs="Arial"/>
                <w:b/>
              </w:rPr>
              <w:t>9,822</w:t>
            </w:r>
          </w:p>
        </w:tc>
      </w:tr>
    </w:tbl>
    <w:p w14:paraId="6E67418F" w14:textId="77777777" w:rsidR="00EE0770" w:rsidRPr="00420DD5" w:rsidRDefault="00EE0770" w:rsidP="00EE0770">
      <w:pPr>
        <w:pStyle w:val="ListParagraph"/>
        <w:rPr>
          <w:highlight w:val="yellow"/>
        </w:rPr>
      </w:pPr>
    </w:p>
    <w:p w14:paraId="6E674190" w14:textId="0D699A21" w:rsidR="00EE0770" w:rsidRPr="001E226F" w:rsidRDefault="00592E9A" w:rsidP="00CA1E66">
      <w:pPr>
        <w:pStyle w:val="Header"/>
        <w:numPr>
          <w:ilvl w:val="1"/>
          <w:numId w:val="2"/>
        </w:numPr>
        <w:tabs>
          <w:tab w:val="clear" w:pos="4153"/>
          <w:tab w:val="clear" w:pos="8306"/>
        </w:tabs>
        <w:ind w:hanging="720"/>
        <w:jc w:val="both"/>
      </w:pPr>
      <w:r w:rsidRPr="001E226F">
        <w:t>School</w:t>
      </w:r>
      <w:r w:rsidR="004B01CC" w:rsidRPr="001E226F">
        <w:t xml:space="preserve"> funding </w:t>
      </w:r>
      <w:r w:rsidRPr="001E226F">
        <w:t xml:space="preserve">is updated </w:t>
      </w:r>
      <w:r w:rsidR="004B01CC" w:rsidRPr="001E226F">
        <w:t xml:space="preserve">for business rate adjustments </w:t>
      </w:r>
      <w:r w:rsidR="0033186E" w:rsidRPr="001E226F">
        <w:t>undertaken</w:t>
      </w:r>
      <w:r w:rsidR="004B01CC" w:rsidRPr="001E226F">
        <w:t xml:space="preserve"> by the valuation office during the year</w:t>
      </w:r>
      <w:r w:rsidR="0023442C" w:rsidRPr="001E226F">
        <w:t>.</w:t>
      </w:r>
      <w:r w:rsidR="004B01CC" w:rsidRPr="001E226F">
        <w:t xml:space="preserve"> </w:t>
      </w:r>
      <w:r w:rsidRPr="001E226F">
        <w:t>Additional funding is provided for increases and deductions made for reductions</w:t>
      </w:r>
      <w:r w:rsidR="004B01CC" w:rsidRPr="001E226F">
        <w:t>.</w:t>
      </w:r>
      <w:r w:rsidRPr="001E226F">
        <w:t xml:space="preserve"> This year </w:t>
      </w:r>
      <w:r w:rsidR="009572E5" w:rsidRPr="001E226F">
        <w:t>we expect</w:t>
      </w:r>
      <w:r w:rsidR="001E226F" w:rsidRPr="001E226F">
        <w:t xml:space="preserve">ed </w:t>
      </w:r>
      <w:r w:rsidR="009572E5" w:rsidRPr="001E226F">
        <w:t>a net reduction resulting in an under</w:t>
      </w:r>
      <w:r w:rsidR="001E226F" w:rsidRPr="001E226F">
        <w:t xml:space="preserve"> </w:t>
      </w:r>
      <w:r w:rsidR="009572E5" w:rsidRPr="001E226F">
        <w:t>spend of £86</w:t>
      </w:r>
      <w:r w:rsidR="006D7E4A" w:rsidRPr="001E226F">
        <w:t>k (Note: NNDR is funded on a one year lagged basis through the DSG)</w:t>
      </w:r>
    </w:p>
    <w:p w14:paraId="6E674191" w14:textId="77777777" w:rsidR="00592E9A" w:rsidRPr="00420DD5" w:rsidRDefault="00592E9A" w:rsidP="00CA1E66">
      <w:pPr>
        <w:pStyle w:val="Header"/>
        <w:tabs>
          <w:tab w:val="clear" w:pos="4153"/>
          <w:tab w:val="clear" w:pos="8306"/>
        </w:tabs>
        <w:ind w:left="720"/>
        <w:jc w:val="both"/>
        <w:rPr>
          <w:highlight w:val="yellow"/>
        </w:rPr>
      </w:pPr>
    </w:p>
    <w:p w14:paraId="6E674192" w14:textId="28758753" w:rsidR="00592E9A" w:rsidRPr="003E2D2B" w:rsidRDefault="00592E9A" w:rsidP="00CA1E66">
      <w:pPr>
        <w:pStyle w:val="Header"/>
        <w:numPr>
          <w:ilvl w:val="1"/>
          <w:numId w:val="2"/>
        </w:numPr>
        <w:tabs>
          <w:tab w:val="clear" w:pos="4153"/>
          <w:tab w:val="clear" w:pos="8306"/>
        </w:tabs>
        <w:ind w:hanging="720"/>
        <w:jc w:val="both"/>
      </w:pPr>
      <w:r w:rsidRPr="003E2D2B">
        <w:t xml:space="preserve">Bulge class funding </w:t>
      </w:r>
      <w:r w:rsidR="00604C6B" w:rsidRPr="003E2D2B">
        <w:t xml:space="preserve">was </w:t>
      </w:r>
      <w:r w:rsidRPr="003E2D2B">
        <w:t>set aside for possible secondary</w:t>
      </w:r>
      <w:r w:rsidR="00D34CB4" w:rsidRPr="003E2D2B">
        <w:t>/primary</w:t>
      </w:r>
      <w:r w:rsidRPr="003E2D2B">
        <w:t xml:space="preserve"> expansion</w:t>
      </w:r>
      <w:r w:rsidR="00D34CB4" w:rsidRPr="003E2D2B">
        <w:t>s</w:t>
      </w:r>
      <w:r w:rsidRPr="003E2D2B">
        <w:t xml:space="preserve">. We were able to </w:t>
      </w:r>
      <w:r w:rsidR="00FE39E5" w:rsidRPr="003E2D2B">
        <w:t>place all children in 2019</w:t>
      </w:r>
      <w:r w:rsidRPr="003E2D2B">
        <w:t>/</w:t>
      </w:r>
      <w:r w:rsidR="00FE39E5" w:rsidRPr="003E2D2B">
        <w:t>20</w:t>
      </w:r>
      <w:r w:rsidRPr="003E2D2B">
        <w:t xml:space="preserve"> in existing schools or planned bulge classes which r</w:t>
      </w:r>
      <w:r w:rsidR="00FE39E5" w:rsidRPr="003E2D2B">
        <w:t>esulted in a</w:t>
      </w:r>
      <w:r w:rsidR="00FE51E2" w:rsidRPr="003E2D2B">
        <w:t>n</w:t>
      </w:r>
      <w:r w:rsidR="00FE39E5" w:rsidRPr="003E2D2B">
        <w:t xml:space="preserve"> under</w:t>
      </w:r>
      <w:r w:rsidR="00FE51E2" w:rsidRPr="003E2D2B">
        <w:t xml:space="preserve"> </w:t>
      </w:r>
      <w:r w:rsidR="00FE39E5" w:rsidRPr="003E2D2B">
        <w:t>spend of</w:t>
      </w:r>
      <w:r w:rsidR="00F523E8" w:rsidRPr="003E2D2B">
        <w:t xml:space="preserve"> £240</w:t>
      </w:r>
      <w:r w:rsidRPr="003E2D2B">
        <w:t>k.</w:t>
      </w:r>
    </w:p>
    <w:p w14:paraId="6E674193" w14:textId="77777777" w:rsidR="004B01CC" w:rsidRPr="003E2D2B" w:rsidRDefault="004B01CC" w:rsidP="00CA1E66">
      <w:pPr>
        <w:pStyle w:val="Header"/>
        <w:tabs>
          <w:tab w:val="clear" w:pos="4153"/>
          <w:tab w:val="clear" w:pos="8306"/>
        </w:tabs>
        <w:ind w:left="720"/>
        <w:jc w:val="both"/>
      </w:pPr>
    </w:p>
    <w:p w14:paraId="6E674194" w14:textId="644ED61C" w:rsidR="004B01CC" w:rsidRPr="00BB4E1A" w:rsidRDefault="004F465B" w:rsidP="00CA1E66">
      <w:pPr>
        <w:pStyle w:val="Header"/>
        <w:numPr>
          <w:ilvl w:val="1"/>
          <w:numId w:val="2"/>
        </w:numPr>
        <w:tabs>
          <w:tab w:val="clear" w:pos="4153"/>
          <w:tab w:val="clear" w:pos="8306"/>
        </w:tabs>
        <w:ind w:hanging="720"/>
        <w:jc w:val="both"/>
      </w:pPr>
      <w:r w:rsidRPr="00BB4E1A">
        <w:t xml:space="preserve">SEN </w:t>
      </w:r>
      <w:r w:rsidR="008E7D17" w:rsidRPr="00BB4E1A">
        <w:t>EHCP</w:t>
      </w:r>
      <w:r w:rsidRPr="00BB4E1A">
        <w:t xml:space="preserve"> payments to Merton maintained schools </w:t>
      </w:r>
      <w:r w:rsidR="00BB4E1A" w:rsidRPr="00BB4E1A">
        <w:t xml:space="preserve">was </w:t>
      </w:r>
      <w:r w:rsidRPr="00BB4E1A">
        <w:t>over</w:t>
      </w:r>
      <w:r w:rsidR="00BB4E1A" w:rsidRPr="00BB4E1A">
        <w:t xml:space="preserve"> </w:t>
      </w:r>
      <w:r w:rsidRPr="00BB4E1A">
        <w:t>spen</w:t>
      </w:r>
      <w:r w:rsidR="00BB4E1A" w:rsidRPr="00BB4E1A">
        <w:t>t</w:t>
      </w:r>
      <w:r w:rsidRPr="00BB4E1A">
        <w:t xml:space="preserve"> by £</w:t>
      </w:r>
      <w:r w:rsidR="00F523E8" w:rsidRPr="00BB4E1A">
        <w:t>1.188</w:t>
      </w:r>
      <w:r w:rsidR="008C7253" w:rsidRPr="00BB4E1A">
        <w:t>m</w:t>
      </w:r>
      <w:r w:rsidR="00BB4E1A" w:rsidRPr="00BB4E1A">
        <w:t xml:space="preserve">. </w:t>
      </w:r>
      <w:r w:rsidR="008B2747">
        <w:t xml:space="preserve">At the end of </w:t>
      </w:r>
      <w:r w:rsidR="00BB4E1A" w:rsidRPr="00BB4E1A">
        <w:t>March the number of approved EHCP</w:t>
      </w:r>
      <w:r w:rsidR="00F7235E">
        <w:t>s</w:t>
      </w:r>
      <w:r w:rsidR="00BB4E1A" w:rsidRPr="00BB4E1A">
        <w:t xml:space="preserve"> was at 2011, this is expected to increase</w:t>
      </w:r>
      <w:r w:rsidR="00F7235E">
        <w:t xml:space="preserve"> further in </w:t>
      </w:r>
      <w:r w:rsidR="00BB4E1A" w:rsidRPr="00BB4E1A">
        <w:t xml:space="preserve">2020/21. </w:t>
      </w:r>
    </w:p>
    <w:p w14:paraId="6E674195" w14:textId="77777777" w:rsidR="004B01CC" w:rsidRPr="00420DD5" w:rsidRDefault="004B01CC" w:rsidP="00CA1E66">
      <w:pPr>
        <w:pStyle w:val="Header"/>
        <w:tabs>
          <w:tab w:val="clear" w:pos="4153"/>
          <w:tab w:val="clear" w:pos="8306"/>
        </w:tabs>
        <w:ind w:left="720"/>
        <w:jc w:val="both"/>
        <w:rPr>
          <w:highlight w:val="yellow"/>
        </w:rPr>
      </w:pPr>
    </w:p>
    <w:p w14:paraId="6E674196" w14:textId="1F1DADF6" w:rsidR="00B43AD2" w:rsidRPr="00C25F0C" w:rsidRDefault="004F465B" w:rsidP="00CA1E66">
      <w:pPr>
        <w:pStyle w:val="Header"/>
        <w:numPr>
          <w:ilvl w:val="1"/>
          <w:numId w:val="2"/>
        </w:numPr>
        <w:tabs>
          <w:tab w:val="clear" w:pos="4153"/>
          <w:tab w:val="clear" w:pos="8306"/>
        </w:tabs>
        <w:ind w:hanging="720"/>
        <w:jc w:val="both"/>
      </w:pPr>
      <w:r w:rsidRPr="00C25F0C">
        <w:t xml:space="preserve">The ARP budget this year </w:t>
      </w:r>
      <w:r w:rsidR="00C25F0C" w:rsidRPr="00C25F0C">
        <w:t xml:space="preserve">was </w:t>
      </w:r>
      <w:r w:rsidR="00F523E8" w:rsidRPr="00C25F0C">
        <w:t>under</w:t>
      </w:r>
      <w:r w:rsidR="00C25F0C" w:rsidRPr="00C25F0C">
        <w:t xml:space="preserve"> </w:t>
      </w:r>
      <w:r w:rsidR="00F523E8" w:rsidRPr="00C25F0C">
        <w:t>s</w:t>
      </w:r>
      <w:r w:rsidR="00C25F0C" w:rsidRPr="00C25F0C">
        <w:t>pent</w:t>
      </w:r>
      <w:r w:rsidR="00F523E8" w:rsidRPr="00C25F0C">
        <w:t xml:space="preserve"> by £35</w:t>
      </w:r>
      <w:r w:rsidRPr="00C25F0C">
        <w:t>k</w:t>
      </w:r>
      <w:r w:rsidR="004B01CC" w:rsidRPr="00C25F0C">
        <w:t>.</w:t>
      </w:r>
      <w:r w:rsidRPr="00C25F0C">
        <w:t xml:space="preserve"> This </w:t>
      </w:r>
      <w:r w:rsidR="006322B8" w:rsidRPr="00C25F0C">
        <w:t xml:space="preserve">budget </w:t>
      </w:r>
      <w:r w:rsidR="00D105BA" w:rsidRPr="00C25F0C">
        <w:t xml:space="preserve">was kept at the same level </w:t>
      </w:r>
      <w:r w:rsidR="0078798C" w:rsidRPr="00C25F0C">
        <w:t xml:space="preserve">as 2018/19 and there is </w:t>
      </w:r>
      <w:r w:rsidR="00C25F0C">
        <w:t xml:space="preserve">likely to be </w:t>
      </w:r>
      <w:r w:rsidR="0078798C" w:rsidRPr="00C25F0C">
        <w:t xml:space="preserve">a prospect of an </w:t>
      </w:r>
      <w:r w:rsidR="00592E9A" w:rsidRPr="00C25F0C">
        <w:t xml:space="preserve">ARP </w:t>
      </w:r>
      <w:r w:rsidR="0078798C" w:rsidRPr="00C25F0C">
        <w:t>expanding in 2020/21</w:t>
      </w:r>
      <w:r w:rsidR="00592E9A" w:rsidRPr="00C25F0C">
        <w:t xml:space="preserve"> which </w:t>
      </w:r>
      <w:r w:rsidR="0078798C" w:rsidRPr="00C25F0C">
        <w:t>may</w:t>
      </w:r>
      <w:r w:rsidR="006322B8" w:rsidRPr="00C25F0C">
        <w:t xml:space="preserve"> require</w:t>
      </w:r>
      <w:r w:rsidR="00592E9A" w:rsidRPr="00C25F0C">
        <w:t xml:space="preserve"> </w:t>
      </w:r>
      <w:r w:rsidR="0078798C" w:rsidRPr="00C25F0C">
        <w:t xml:space="preserve">for </w:t>
      </w:r>
      <w:r w:rsidR="00592E9A" w:rsidRPr="00C25F0C">
        <w:t>this budget to be increased</w:t>
      </w:r>
      <w:r w:rsidR="006322B8" w:rsidRPr="00C25F0C">
        <w:t xml:space="preserve"> again</w:t>
      </w:r>
      <w:r w:rsidR="00592E9A" w:rsidRPr="00C25F0C">
        <w:t>.</w:t>
      </w:r>
    </w:p>
    <w:p w14:paraId="7524A2A4" w14:textId="77777777" w:rsidR="002D7326" w:rsidRPr="00C25F0C" w:rsidRDefault="002D7326" w:rsidP="00CA1E66">
      <w:pPr>
        <w:pStyle w:val="ListParagraph"/>
        <w:jc w:val="both"/>
      </w:pPr>
    </w:p>
    <w:p w14:paraId="79D9DFF9" w14:textId="731BE754" w:rsidR="002D7326" w:rsidRPr="00C25F0C" w:rsidRDefault="002D7326" w:rsidP="00CA1E66">
      <w:pPr>
        <w:pStyle w:val="Header"/>
        <w:numPr>
          <w:ilvl w:val="1"/>
          <w:numId w:val="2"/>
        </w:numPr>
        <w:tabs>
          <w:tab w:val="clear" w:pos="4153"/>
          <w:tab w:val="clear" w:pos="8306"/>
        </w:tabs>
        <w:ind w:hanging="720"/>
        <w:jc w:val="both"/>
      </w:pPr>
      <w:r w:rsidRPr="00C25F0C">
        <w:t>Income recovered from other local au</w:t>
      </w:r>
      <w:r w:rsidR="00F523E8" w:rsidRPr="00C25F0C">
        <w:t xml:space="preserve">thorities </w:t>
      </w:r>
      <w:r w:rsidR="00C25F0C" w:rsidRPr="00C25F0C">
        <w:t xml:space="preserve">was </w:t>
      </w:r>
      <w:r w:rsidR="00F523E8" w:rsidRPr="00C25F0C">
        <w:t>£297</w:t>
      </w:r>
      <w:r w:rsidRPr="00C25F0C">
        <w:t>k</w:t>
      </w:r>
      <w:r w:rsidR="00C25F0C" w:rsidRPr="00C25F0C">
        <w:t>, this was £98k more than forecast</w:t>
      </w:r>
      <w:r w:rsidRPr="00C25F0C">
        <w:t>.</w:t>
      </w:r>
    </w:p>
    <w:p w14:paraId="0D237446" w14:textId="264D016D" w:rsidR="00764FE9" w:rsidRPr="00420DD5" w:rsidRDefault="00764FE9" w:rsidP="00CA1E66">
      <w:pPr>
        <w:jc w:val="both"/>
        <w:rPr>
          <w:highlight w:val="yellow"/>
        </w:rPr>
      </w:pPr>
    </w:p>
    <w:p w14:paraId="6E67419A" w14:textId="5DA29535" w:rsidR="00D900DE" w:rsidRPr="00C25F0C" w:rsidRDefault="00D900DE" w:rsidP="00CA1E66">
      <w:pPr>
        <w:pStyle w:val="Header"/>
        <w:numPr>
          <w:ilvl w:val="1"/>
          <w:numId w:val="2"/>
        </w:numPr>
        <w:tabs>
          <w:tab w:val="clear" w:pos="4153"/>
          <w:tab w:val="clear" w:pos="8306"/>
        </w:tabs>
        <w:ind w:hanging="720"/>
        <w:jc w:val="both"/>
      </w:pPr>
      <w:r w:rsidRPr="00C25F0C">
        <w:t>The a</w:t>
      </w:r>
      <w:r w:rsidR="00143C85" w:rsidRPr="00C25F0C">
        <w:t xml:space="preserve">dditional </w:t>
      </w:r>
      <w:r w:rsidRPr="00C25F0C">
        <w:t xml:space="preserve">SEN provision budget </w:t>
      </w:r>
      <w:r w:rsidR="00C25F0C" w:rsidRPr="00C25F0C">
        <w:t xml:space="preserve">has </w:t>
      </w:r>
      <w:r w:rsidRPr="00C25F0C">
        <w:t>over</w:t>
      </w:r>
      <w:r w:rsidR="00C25F0C" w:rsidRPr="00C25F0C">
        <w:t xml:space="preserve"> spent</w:t>
      </w:r>
      <w:r w:rsidRPr="00C25F0C">
        <w:t xml:space="preserve"> by £</w:t>
      </w:r>
      <w:r w:rsidR="00761FFD" w:rsidRPr="00C25F0C">
        <w:t>1.</w:t>
      </w:r>
      <w:r w:rsidR="00F523E8" w:rsidRPr="00C25F0C">
        <w:t>489</w:t>
      </w:r>
      <w:r w:rsidR="00761FFD" w:rsidRPr="00C25F0C">
        <w:t>m</w:t>
      </w:r>
      <w:r w:rsidRPr="00C25F0C">
        <w:t xml:space="preserve">. </w:t>
      </w:r>
      <w:r w:rsidR="00143C85" w:rsidRPr="00C25F0C">
        <w:t xml:space="preserve">This </w:t>
      </w:r>
      <w:r w:rsidR="00C2334F" w:rsidRPr="00C25F0C">
        <w:t>includes cost for one to one support</w:t>
      </w:r>
      <w:r w:rsidR="00143C85" w:rsidRPr="00C25F0C">
        <w:t xml:space="preserve"> </w:t>
      </w:r>
      <w:r w:rsidR="007A647C" w:rsidRPr="00C25F0C">
        <w:t xml:space="preserve">as a result of </w:t>
      </w:r>
      <w:r w:rsidR="00143C85" w:rsidRPr="00C25F0C">
        <w:t xml:space="preserve">more requests being received for additional support due to the complexity </w:t>
      </w:r>
      <w:r w:rsidR="00C2334F" w:rsidRPr="00C25F0C">
        <w:t>of cases</w:t>
      </w:r>
      <w:r w:rsidR="007A647C" w:rsidRPr="00C25F0C">
        <w:t>;</w:t>
      </w:r>
      <w:r w:rsidR="00C2334F" w:rsidRPr="00C25F0C">
        <w:t xml:space="preserve"> additional therapy costs </w:t>
      </w:r>
      <w:r w:rsidR="007A647C" w:rsidRPr="00C25F0C">
        <w:t xml:space="preserve">such as </w:t>
      </w:r>
      <w:r w:rsidR="00DA5409" w:rsidRPr="00C25F0C">
        <w:t>SALT and OT charged from independent and out of borough placements as well as cost for home tutors.</w:t>
      </w:r>
    </w:p>
    <w:p w14:paraId="4E98B71A" w14:textId="77777777" w:rsidR="00724D07" w:rsidRPr="00420DD5" w:rsidRDefault="00724D07" w:rsidP="00CA1E66">
      <w:pPr>
        <w:pStyle w:val="ListParagraph"/>
        <w:jc w:val="both"/>
        <w:rPr>
          <w:highlight w:val="yellow"/>
        </w:rPr>
      </w:pPr>
    </w:p>
    <w:p w14:paraId="5D8BB70B" w14:textId="0F0DD9EC" w:rsidR="00724D07" w:rsidRPr="00C25F0C" w:rsidRDefault="00724D07" w:rsidP="00CA1E66">
      <w:pPr>
        <w:pStyle w:val="Header"/>
        <w:numPr>
          <w:ilvl w:val="1"/>
          <w:numId w:val="2"/>
        </w:numPr>
        <w:tabs>
          <w:tab w:val="clear" w:pos="4153"/>
          <w:tab w:val="clear" w:pos="8306"/>
        </w:tabs>
        <w:ind w:hanging="720"/>
        <w:jc w:val="both"/>
      </w:pPr>
      <w:r w:rsidRPr="00C25F0C">
        <w:t>Staff vacancies in the SEN &amp; Early Help team has resulted in an under spend of (£80k).</w:t>
      </w:r>
    </w:p>
    <w:p w14:paraId="6E67419B" w14:textId="77777777" w:rsidR="00DA5409" w:rsidRPr="00C25F0C" w:rsidRDefault="00DA5409" w:rsidP="00CA1E66">
      <w:pPr>
        <w:pStyle w:val="ListParagraph"/>
        <w:jc w:val="both"/>
      </w:pPr>
    </w:p>
    <w:p w14:paraId="10387AD5" w14:textId="7B43CBCF" w:rsidR="00AA6869" w:rsidRPr="009771D4" w:rsidRDefault="000140C2" w:rsidP="00AA6869">
      <w:pPr>
        <w:pStyle w:val="Header"/>
        <w:numPr>
          <w:ilvl w:val="1"/>
          <w:numId w:val="2"/>
        </w:numPr>
        <w:tabs>
          <w:tab w:val="clear" w:pos="4153"/>
          <w:tab w:val="clear" w:pos="8306"/>
        </w:tabs>
        <w:ind w:hanging="720"/>
        <w:jc w:val="both"/>
      </w:pPr>
      <w:r w:rsidRPr="00C25F0C">
        <w:rPr>
          <w:szCs w:val="24"/>
        </w:rPr>
        <w:t xml:space="preserve">The </w:t>
      </w:r>
      <w:r w:rsidR="00374717" w:rsidRPr="00C25F0C">
        <w:rPr>
          <w:szCs w:val="24"/>
        </w:rPr>
        <w:t>independent</w:t>
      </w:r>
      <w:r w:rsidRPr="00C25F0C">
        <w:rPr>
          <w:szCs w:val="24"/>
        </w:rPr>
        <w:t xml:space="preserve"> day s</w:t>
      </w:r>
      <w:r w:rsidR="00C25F0C" w:rsidRPr="00C25F0C">
        <w:rPr>
          <w:szCs w:val="24"/>
        </w:rPr>
        <w:t xml:space="preserve">chool provision has </w:t>
      </w:r>
      <w:r w:rsidRPr="00C25F0C">
        <w:rPr>
          <w:szCs w:val="24"/>
        </w:rPr>
        <w:t>over</w:t>
      </w:r>
      <w:r w:rsidR="00C25F0C" w:rsidRPr="00C25F0C">
        <w:rPr>
          <w:szCs w:val="24"/>
        </w:rPr>
        <w:t xml:space="preserve"> spent</w:t>
      </w:r>
      <w:r w:rsidRPr="00C25F0C">
        <w:rPr>
          <w:szCs w:val="24"/>
        </w:rPr>
        <w:t xml:space="preserve"> by £</w:t>
      </w:r>
      <w:r w:rsidR="00AC6787" w:rsidRPr="00C25F0C">
        <w:rPr>
          <w:szCs w:val="24"/>
        </w:rPr>
        <w:t>6</w:t>
      </w:r>
      <w:r w:rsidR="00653F37" w:rsidRPr="00C25F0C">
        <w:rPr>
          <w:szCs w:val="24"/>
        </w:rPr>
        <w:t>.</w:t>
      </w:r>
      <w:r w:rsidR="00F523E8" w:rsidRPr="00C25F0C">
        <w:rPr>
          <w:szCs w:val="24"/>
        </w:rPr>
        <w:t>799</w:t>
      </w:r>
      <w:r w:rsidR="006F4A1C" w:rsidRPr="00C25F0C">
        <w:rPr>
          <w:szCs w:val="24"/>
        </w:rPr>
        <w:t>m</w:t>
      </w:r>
      <w:r w:rsidRPr="00C25F0C">
        <w:rPr>
          <w:szCs w:val="24"/>
        </w:rPr>
        <w:t xml:space="preserve">. </w:t>
      </w:r>
      <w:r w:rsidRPr="00C25F0C">
        <w:t xml:space="preserve">The number of students placed in this type of provision has </w:t>
      </w:r>
      <w:r w:rsidR="00580DE7" w:rsidRPr="00C25F0C">
        <w:t xml:space="preserve">steadily </w:t>
      </w:r>
      <w:r w:rsidRPr="00C25F0C">
        <w:t>increased over the past few years</w:t>
      </w:r>
      <w:r w:rsidR="001B3EEC" w:rsidRPr="00C25F0C">
        <w:t xml:space="preserve">. </w:t>
      </w:r>
    </w:p>
    <w:p w14:paraId="1CE6B532" w14:textId="77777777" w:rsidR="00CA1E66" w:rsidRPr="00CA1E66" w:rsidRDefault="00A90509" w:rsidP="00CA1E66">
      <w:pPr>
        <w:pStyle w:val="Header"/>
        <w:numPr>
          <w:ilvl w:val="1"/>
          <w:numId w:val="2"/>
        </w:numPr>
        <w:tabs>
          <w:tab w:val="clear" w:pos="4153"/>
          <w:tab w:val="clear" w:pos="8306"/>
        </w:tabs>
        <w:ind w:hanging="720"/>
        <w:jc w:val="both"/>
      </w:pPr>
      <w:r w:rsidRPr="00CA1E66">
        <w:rPr>
          <w:szCs w:val="24"/>
        </w:rPr>
        <w:lastRenderedPageBreak/>
        <w:t xml:space="preserve">The independent residential school provision </w:t>
      </w:r>
      <w:r w:rsidR="0095398C" w:rsidRPr="00CA1E66">
        <w:rPr>
          <w:szCs w:val="24"/>
        </w:rPr>
        <w:t xml:space="preserve">has </w:t>
      </w:r>
      <w:r w:rsidRPr="00CA1E66">
        <w:rPr>
          <w:szCs w:val="24"/>
        </w:rPr>
        <w:t>under</w:t>
      </w:r>
      <w:r w:rsidR="0095398C" w:rsidRPr="00CA1E66">
        <w:rPr>
          <w:szCs w:val="24"/>
        </w:rPr>
        <w:t xml:space="preserve"> spent</w:t>
      </w:r>
      <w:r w:rsidRPr="00CA1E66">
        <w:rPr>
          <w:szCs w:val="24"/>
        </w:rPr>
        <w:t xml:space="preserve"> by £</w:t>
      </w:r>
      <w:r w:rsidR="00F523E8" w:rsidRPr="00CA1E66">
        <w:rPr>
          <w:szCs w:val="24"/>
        </w:rPr>
        <w:t>1</w:t>
      </w:r>
      <w:r w:rsidR="00AC6787" w:rsidRPr="00CA1E66">
        <w:rPr>
          <w:szCs w:val="24"/>
        </w:rPr>
        <w:t>3</w:t>
      </w:r>
      <w:r w:rsidR="00F523E8" w:rsidRPr="00CA1E66">
        <w:rPr>
          <w:szCs w:val="24"/>
        </w:rPr>
        <w:t>2</w:t>
      </w:r>
      <w:r w:rsidRPr="00CA1E66">
        <w:rPr>
          <w:szCs w:val="24"/>
        </w:rPr>
        <w:t xml:space="preserve">k. This is as a result of </w:t>
      </w:r>
      <w:r w:rsidR="007526AC" w:rsidRPr="00CA1E66">
        <w:rPr>
          <w:szCs w:val="24"/>
        </w:rPr>
        <w:t xml:space="preserve">substantial efforts </w:t>
      </w:r>
      <w:r w:rsidR="0095398C" w:rsidRPr="00CA1E66">
        <w:rPr>
          <w:szCs w:val="24"/>
        </w:rPr>
        <w:t xml:space="preserve">through the year </w:t>
      </w:r>
      <w:r w:rsidRPr="00CA1E66">
        <w:rPr>
          <w:szCs w:val="24"/>
        </w:rPr>
        <w:t>to keep this cost as low as possible as this is the most expensive provision for the borough.</w:t>
      </w:r>
    </w:p>
    <w:p w14:paraId="00EA94D9" w14:textId="77777777" w:rsidR="00CA1E66" w:rsidRPr="00CA1E66" w:rsidRDefault="00CA1E66" w:rsidP="00CA1E66">
      <w:pPr>
        <w:pStyle w:val="ListParagraph"/>
        <w:jc w:val="both"/>
      </w:pPr>
    </w:p>
    <w:p w14:paraId="38FFAC52" w14:textId="44DF0C0E" w:rsidR="001033F9" w:rsidRPr="00CA1E66" w:rsidRDefault="00A90509" w:rsidP="00CA1E66">
      <w:pPr>
        <w:pStyle w:val="Header"/>
        <w:numPr>
          <w:ilvl w:val="1"/>
          <w:numId w:val="2"/>
        </w:numPr>
        <w:tabs>
          <w:tab w:val="clear" w:pos="4153"/>
          <w:tab w:val="clear" w:pos="8306"/>
        </w:tabs>
        <w:ind w:hanging="720"/>
        <w:jc w:val="both"/>
      </w:pPr>
      <w:r w:rsidRPr="00CA1E66">
        <w:rPr>
          <w:szCs w:val="24"/>
        </w:rPr>
        <w:t xml:space="preserve">Further Education and post 16 Independent Specialist Provision </w:t>
      </w:r>
      <w:r w:rsidR="00CA1E66" w:rsidRPr="00CA1E66">
        <w:rPr>
          <w:szCs w:val="24"/>
        </w:rPr>
        <w:t xml:space="preserve">was under spent by £12k. </w:t>
      </w:r>
      <w:r w:rsidR="00582341" w:rsidRPr="00CA1E66">
        <w:rPr>
          <w:szCs w:val="24"/>
        </w:rPr>
        <w:t>This is linked to the legislation changes requiring local authorities to fund the education of SEND pupils up to the age of</w:t>
      </w:r>
      <w:r w:rsidR="00CA1E66" w:rsidRPr="00CA1E66">
        <w:rPr>
          <w:szCs w:val="24"/>
        </w:rPr>
        <w:t xml:space="preserve"> 25. </w:t>
      </w:r>
    </w:p>
    <w:p w14:paraId="418F4D6A" w14:textId="77777777" w:rsidR="001033F9" w:rsidRPr="00CA1E66" w:rsidRDefault="001033F9" w:rsidP="00CA1E66">
      <w:pPr>
        <w:pStyle w:val="Header"/>
        <w:tabs>
          <w:tab w:val="clear" w:pos="4153"/>
          <w:tab w:val="clear" w:pos="8306"/>
        </w:tabs>
        <w:ind w:left="720"/>
        <w:jc w:val="both"/>
      </w:pPr>
    </w:p>
    <w:p w14:paraId="6E6741C4" w14:textId="0414A454" w:rsidR="00A90509" w:rsidRPr="00CA1E66" w:rsidRDefault="00582341" w:rsidP="00CA1E66">
      <w:pPr>
        <w:pStyle w:val="Header"/>
        <w:numPr>
          <w:ilvl w:val="1"/>
          <w:numId w:val="2"/>
        </w:numPr>
        <w:tabs>
          <w:tab w:val="clear" w:pos="4153"/>
          <w:tab w:val="clear" w:pos="8306"/>
        </w:tabs>
        <w:ind w:hanging="720"/>
        <w:jc w:val="both"/>
      </w:pPr>
      <w:r w:rsidRPr="00CA1E66">
        <w:t xml:space="preserve">Out of borough maintained school and academy placements </w:t>
      </w:r>
      <w:r w:rsidR="0095398C" w:rsidRPr="00CA1E66">
        <w:t xml:space="preserve">have </w:t>
      </w:r>
      <w:r w:rsidRPr="00CA1E66">
        <w:t>over</w:t>
      </w:r>
      <w:r w:rsidR="0095398C" w:rsidRPr="00CA1E66">
        <w:t xml:space="preserve"> spent</w:t>
      </w:r>
      <w:r w:rsidRPr="00CA1E66">
        <w:t xml:space="preserve"> by £</w:t>
      </w:r>
      <w:r w:rsidR="00F523E8" w:rsidRPr="00CA1E66">
        <w:t>2.012</w:t>
      </w:r>
      <w:r w:rsidR="006A339E" w:rsidRPr="00CA1E66">
        <w:t>m</w:t>
      </w:r>
      <w:r w:rsidRPr="00CA1E66">
        <w:t>. The number of places funded out of borough has increased due to the increased number of EHCPs Merton had to support.</w:t>
      </w:r>
    </w:p>
    <w:p w14:paraId="6E6741C5" w14:textId="77777777" w:rsidR="00582341" w:rsidRPr="00CA1E66" w:rsidRDefault="00582341" w:rsidP="00CA1E66">
      <w:pPr>
        <w:pStyle w:val="ListParagraph"/>
        <w:jc w:val="both"/>
      </w:pPr>
    </w:p>
    <w:p w14:paraId="6E6741C6" w14:textId="63D7AC8C" w:rsidR="00582341" w:rsidRPr="00CA1E66" w:rsidRDefault="007526AC" w:rsidP="00CA1E66">
      <w:pPr>
        <w:pStyle w:val="Header"/>
        <w:numPr>
          <w:ilvl w:val="1"/>
          <w:numId w:val="2"/>
        </w:numPr>
        <w:tabs>
          <w:tab w:val="clear" w:pos="4153"/>
          <w:tab w:val="clear" w:pos="8306"/>
        </w:tabs>
        <w:ind w:hanging="720"/>
        <w:jc w:val="both"/>
      </w:pPr>
      <w:r w:rsidRPr="00CA1E66">
        <w:t xml:space="preserve">The cost of </w:t>
      </w:r>
      <w:r w:rsidR="00513BFE" w:rsidRPr="00CA1E66">
        <w:t>a</w:t>
      </w:r>
      <w:r w:rsidR="00582341" w:rsidRPr="00CA1E66">
        <w:t xml:space="preserve">lternative education </w:t>
      </w:r>
      <w:r w:rsidR="0095398C" w:rsidRPr="00CA1E66">
        <w:t xml:space="preserve">was </w:t>
      </w:r>
      <w:r w:rsidR="00505B71" w:rsidRPr="00CA1E66">
        <w:t>over</w:t>
      </w:r>
      <w:r w:rsidR="0095398C" w:rsidRPr="00CA1E66">
        <w:t xml:space="preserve"> </w:t>
      </w:r>
      <w:r w:rsidR="00505B71" w:rsidRPr="00CA1E66">
        <w:t>spe</w:t>
      </w:r>
      <w:r w:rsidR="0095398C" w:rsidRPr="00CA1E66">
        <w:t>nt</w:t>
      </w:r>
      <w:r w:rsidR="00F523E8" w:rsidRPr="00CA1E66">
        <w:t xml:space="preserve"> by £326</w:t>
      </w:r>
      <w:r w:rsidR="00582341" w:rsidRPr="00CA1E66">
        <w:t xml:space="preserve">k </w:t>
      </w:r>
      <w:r w:rsidR="0095398C" w:rsidRPr="00CA1E66">
        <w:t xml:space="preserve">at outturn. </w:t>
      </w:r>
      <w:r w:rsidR="00582341" w:rsidRPr="00CA1E66">
        <w:t>The number of places funded has increased in line with the number of EHCPs in Merton.</w:t>
      </w:r>
    </w:p>
    <w:p w14:paraId="3217704A" w14:textId="77777777" w:rsidR="00724D07" w:rsidRPr="00CA1E66" w:rsidRDefault="00724D07" w:rsidP="00CA1E66">
      <w:pPr>
        <w:pStyle w:val="ListParagraph"/>
        <w:jc w:val="both"/>
      </w:pPr>
    </w:p>
    <w:p w14:paraId="65B9A33D" w14:textId="61F61A4E" w:rsidR="00724D07" w:rsidRPr="00CA1E66" w:rsidRDefault="00A2692E" w:rsidP="00CA1E66">
      <w:pPr>
        <w:pStyle w:val="Header"/>
        <w:numPr>
          <w:ilvl w:val="1"/>
          <w:numId w:val="2"/>
        </w:numPr>
        <w:tabs>
          <w:tab w:val="clear" w:pos="4153"/>
          <w:tab w:val="clear" w:pos="8306"/>
        </w:tabs>
        <w:ind w:hanging="720"/>
        <w:jc w:val="both"/>
      </w:pPr>
      <w:r w:rsidRPr="00CA1E66">
        <w:t xml:space="preserve">Recoupment income from </w:t>
      </w:r>
      <w:r w:rsidR="00351E20" w:rsidRPr="00CA1E66">
        <w:t xml:space="preserve">other local authorities </w:t>
      </w:r>
      <w:r w:rsidR="0095398C" w:rsidRPr="00CA1E66">
        <w:t xml:space="preserve">was </w:t>
      </w:r>
      <w:r w:rsidR="00F523E8" w:rsidRPr="00CA1E66">
        <w:t>(£242</w:t>
      </w:r>
      <w:r w:rsidR="00724D07" w:rsidRPr="00CA1E66">
        <w:t>k)</w:t>
      </w:r>
      <w:r w:rsidR="005A6F57" w:rsidRPr="00CA1E66">
        <w:t xml:space="preserve">. </w:t>
      </w:r>
    </w:p>
    <w:p w14:paraId="0AA9BB36" w14:textId="77777777" w:rsidR="00724D07" w:rsidRPr="00CA1E66" w:rsidRDefault="00724D07" w:rsidP="00CA1E66">
      <w:pPr>
        <w:pStyle w:val="ListParagraph"/>
        <w:jc w:val="both"/>
      </w:pPr>
    </w:p>
    <w:p w14:paraId="47EE5718" w14:textId="600CF977" w:rsidR="00724D07" w:rsidRPr="00CA1E66" w:rsidRDefault="00F523E8" w:rsidP="00CA1E66">
      <w:pPr>
        <w:pStyle w:val="Header"/>
        <w:numPr>
          <w:ilvl w:val="1"/>
          <w:numId w:val="2"/>
        </w:numPr>
        <w:tabs>
          <w:tab w:val="clear" w:pos="4153"/>
          <w:tab w:val="clear" w:pos="8306"/>
        </w:tabs>
        <w:ind w:hanging="720"/>
        <w:jc w:val="both"/>
      </w:pPr>
      <w:r w:rsidRPr="00CA1E66">
        <w:t>£240</w:t>
      </w:r>
      <w:r w:rsidR="00724D07" w:rsidRPr="00CA1E66">
        <w:t>k</w:t>
      </w:r>
      <w:r w:rsidR="005A6F57" w:rsidRPr="00CA1E66">
        <w:t xml:space="preserve"> over</w:t>
      </w:r>
      <w:r w:rsidR="0095398C" w:rsidRPr="00CA1E66">
        <w:t xml:space="preserve"> </w:t>
      </w:r>
      <w:r w:rsidR="005A6F57" w:rsidRPr="00CA1E66">
        <w:t>spend relates to staffing in the Language and Learning team.</w:t>
      </w:r>
    </w:p>
    <w:p w14:paraId="6E6741C7" w14:textId="77777777" w:rsidR="00582341" w:rsidRPr="00CA1E66" w:rsidRDefault="00582341" w:rsidP="00CA1E66">
      <w:pPr>
        <w:pStyle w:val="ListParagraph"/>
        <w:jc w:val="both"/>
      </w:pPr>
    </w:p>
    <w:p w14:paraId="6E6741C8" w14:textId="519A36BD" w:rsidR="00582341" w:rsidRPr="00CA1E66" w:rsidRDefault="00582341" w:rsidP="00CA1E66">
      <w:pPr>
        <w:pStyle w:val="Header"/>
        <w:numPr>
          <w:ilvl w:val="1"/>
          <w:numId w:val="2"/>
        </w:numPr>
        <w:tabs>
          <w:tab w:val="clear" w:pos="4153"/>
          <w:tab w:val="clear" w:pos="8306"/>
        </w:tabs>
        <w:ind w:hanging="720"/>
        <w:jc w:val="both"/>
      </w:pPr>
      <w:r w:rsidRPr="00CA1E66">
        <w:t xml:space="preserve">SEN statement/EHC plan payments to Merton academies </w:t>
      </w:r>
      <w:r w:rsidR="0095398C" w:rsidRPr="00CA1E66">
        <w:t>was over spent</w:t>
      </w:r>
      <w:r w:rsidRPr="00CA1E66">
        <w:t xml:space="preserve"> by £</w:t>
      </w:r>
      <w:r w:rsidR="00AC6787" w:rsidRPr="00CA1E66">
        <w:t>28</w:t>
      </w:r>
      <w:r w:rsidR="00F523E8" w:rsidRPr="00CA1E66">
        <w:t>6</w:t>
      </w:r>
      <w:r w:rsidR="0095398C" w:rsidRPr="00CA1E66">
        <w:t xml:space="preserve">k. </w:t>
      </w:r>
      <w:r w:rsidRPr="00CA1E66">
        <w:t xml:space="preserve">These costs </w:t>
      </w:r>
      <w:r w:rsidR="008E7D17" w:rsidRPr="00CA1E66">
        <w:t>have</w:t>
      </w:r>
      <w:r w:rsidRPr="00CA1E66">
        <w:t xml:space="preserve"> increased as academies also take </w:t>
      </w:r>
      <w:r w:rsidR="008E7D17" w:rsidRPr="00CA1E66">
        <w:t xml:space="preserve">proportionately </w:t>
      </w:r>
      <w:r w:rsidRPr="00CA1E66">
        <w:t xml:space="preserve">more pupils from Merton’s rising EHCP </w:t>
      </w:r>
      <w:r w:rsidR="008E7D17" w:rsidRPr="00CA1E66">
        <w:t>population.</w:t>
      </w:r>
    </w:p>
    <w:p w14:paraId="6E6741C9" w14:textId="77777777" w:rsidR="00582341" w:rsidRPr="00CA1E66" w:rsidRDefault="00582341" w:rsidP="00CA1E66">
      <w:pPr>
        <w:pStyle w:val="ListParagraph"/>
        <w:jc w:val="both"/>
      </w:pPr>
    </w:p>
    <w:p w14:paraId="6E6741CA" w14:textId="5965E431" w:rsidR="00580DE7" w:rsidRPr="00CA1E66" w:rsidRDefault="00580DE7" w:rsidP="00CA1E66">
      <w:pPr>
        <w:pStyle w:val="Header"/>
        <w:numPr>
          <w:ilvl w:val="1"/>
          <w:numId w:val="2"/>
        </w:numPr>
        <w:tabs>
          <w:tab w:val="clear" w:pos="4153"/>
          <w:tab w:val="clear" w:pos="8306"/>
        </w:tabs>
        <w:ind w:hanging="720"/>
        <w:jc w:val="both"/>
      </w:pPr>
      <w:r w:rsidRPr="00CA1E66">
        <w:t xml:space="preserve">The </w:t>
      </w:r>
      <w:r w:rsidR="00D30DF0" w:rsidRPr="00CA1E66">
        <w:t xml:space="preserve">Early Years support budgets </w:t>
      </w:r>
      <w:r w:rsidR="00CE04AA" w:rsidRPr="00CA1E66">
        <w:t xml:space="preserve">have </w:t>
      </w:r>
      <w:r w:rsidR="00F523E8" w:rsidRPr="00CA1E66">
        <w:t>under</w:t>
      </w:r>
      <w:r w:rsidR="0095398C" w:rsidRPr="00CA1E66">
        <w:t xml:space="preserve"> </w:t>
      </w:r>
      <w:r w:rsidR="00CE04AA" w:rsidRPr="00CA1E66">
        <w:t>spent</w:t>
      </w:r>
      <w:r w:rsidR="00F523E8" w:rsidRPr="00CA1E66">
        <w:t xml:space="preserve"> by £56</w:t>
      </w:r>
      <w:r w:rsidR="00D30DF0" w:rsidRPr="00CA1E66">
        <w:t>k</w:t>
      </w:r>
      <w:r w:rsidR="000807D3" w:rsidRPr="00CA1E66">
        <w:t>, t</w:t>
      </w:r>
      <w:r w:rsidR="00D30DF0" w:rsidRPr="00CA1E66">
        <w:t>his is due to keeping vacant posts where possible</w:t>
      </w:r>
      <w:r w:rsidR="00CA12E5" w:rsidRPr="00CA1E66">
        <w:t xml:space="preserve"> to ensure we spend within the 5</w:t>
      </w:r>
      <w:r w:rsidR="00D30DF0" w:rsidRPr="00CA1E66">
        <w:t>% cap on the overall Ea</w:t>
      </w:r>
      <w:r w:rsidR="00CA12E5" w:rsidRPr="00CA1E66">
        <w:t>rly Years block we have for 201</w:t>
      </w:r>
      <w:r w:rsidR="00F716DF" w:rsidRPr="00CA1E66">
        <w:t>9</w:t>
      </w:r>
      <w:r w:rsidR="00CA12E5" w:rsidRPr="00CA1E66">
        <w:t>/</w:t>
      </w:r>
      <w:r w:rsidR="00F716DF" w:rsidRPr="00CA1E66">
        <w:t>20</w:t>
      </w:r>
      <w:r w:rsidR="00D30DF0" w:rsidRPr="00CA1E66">
        <w:t xml:space="preserve"> and to support the overall pressure on the DSG.</w:t>
      </w:r>
    </w:p>
    <w:p w14:paraId="6E6741CB" w14:textId="77777777" w:rsidR="00580DE7" w:rsidRPr="00CA1E66" w:rsidRDefault="00580DE7" w:rsidP="00CA1E66">
      <w:pPr>
        <w:pStyle w:val="ListParagraph"/>
        <w:jc w:val="both"/>
      </w:pPr>
    </w:p>
    <w:p w14:paraId="6E6741CC" w14:textId="5D3012BC" w:rsidR="00580DE7" w:rsidRPr="00CA1E66" w:rsidRDefault="00D30DF0" w:rsidP="00CA1E66">
      <w:pPr>
        <w:pStyle w:val="Header"/>
        <w:numPr>
          <w:ilvl w:val="1"/>
          <w:numId w:val="2"/>
        </w:numPr>
        <w:tabs>
          <w:tab w:val="clear" w:pos="4153"/>
          <w:tab w:val="clear" w:pos="8306"/>
        </w:tabs>
        <w:ind w:hanging="720"/>
        <w:jc w:val="both"/>
      </w:pPr>
      <w:r w:rsidRPr="00CA1E66">
        <w:t xml:space="preserve">The </w:t>
      </w:r>
      <w:r w:rsidR="00CA12E5" w:rsidRPr="00CA1E66">
        <w:t>parenting cover</w:t>
      </w:r>
      <w:r w:rsidRPr="00CA1E66">
        <w:t xml:space="preserve"> budget </w:t>
      </w:r>
      <w:r w:rsidR="000807D3" w:rsidRPr="00CA1E66">
        <w:t xml:space="preserve">has </w:t>
      </w:r>
      <w:r w:rsidR="00984B5A" w:rsidRPr="00CA1E66">
        <w:t>under</w:t>
      </w:r>
      <w:r w:rsidR="000807D3" w:rsidRPr="00CA1E66">
        <w:t xml:space="preserve"> spent</w:t>
      </w:r>
      <w:r w:rsidR="00984B5A" w:rsidRPr="00CA1E66">
        <w:t xml:space="preserve"> by £</w:t>
      </w:r>
      <w:r w:rsidR="00CA12E5" w:rsidRPr="00CA1E66">
        <w:t>2</w:t>
      </w:r>
      <w:r w:rsidR="00F523E8" w:rsidRPr="00CA1E66">
        <w:t>22</w:t>
      </w:r>
      <w:r w:rsidRPr="00CA1E66">
        <w:t xml:space="preserve">k at the end of </w:t>
      </w:r>
      <w:r w:rsidR="000807D3" w:rsidRPr="00CA1E66">
        <w:t>March</w:t>
      </w:r>
      <w:r w:rsidRPr="00CA1E66">
        <w:t xml:space="preserve">. </w:t>
      </w:r>
      <w:r w:rsidR="00CA12E5" w:rsidRPr="00CA1E66">
        <w:t>Th</w:t>
      </w:r>
      <w:r w:rsidR="007526AC" w:rsidRPr="00CA1E66">
        <w:t xml:space="preserve">is </w:t>
      </w:r>
      <w:r w:rsidR="00CA12E5" w:rsidRPr="00CA1E66">
        <w:t>is the first time in quite a few years that this budget has underspen</w:t>
      </w:r>
      <w:r w:rsidR="007526AC" w:rsidRPr="00CA1E66">
        <w:t>t</w:t>
      </w:r>
      <w:r w:rsidR="00CA12E5" w:rsidRPr="00CA1E66">
        <w:t xml:space="preserve"> due to the unpredictable nature of these expenses.</w:t>
      </w:r>
    </w:p>
    <w:p w14:paraId="6E6741CD" w14:textId="77777777" w:rsidR="008177A8" w:rsidRPr="00CA1E66" w:rsidRDefault="008177A8" w:rsidP="00CA1E66">
      <w:pPr>
        <w:pStyle w:val="Header"/>
        <w:tabs>
          <w:tab w:val="clear" w:pos="4153"/>
          <w:tab w:val="clear" w:pos="8306"/>
        </w:tabs>
        <w:ind w:left="720"/>
        <w:jc w:val="both"/>
      </w:pPr>
    </w:p>
    <w:p w14:paraId="6E6741CE" w14:textId="31C69267" w:rsidR="00F4301A" w:rsidRPr="00CA1E66" w:rsidRDefault="007E18A6" w:rsidP="00CA1E66">
      <w:pPr>
        <w:pStyle w:val="Header"/>
        <w:numPr>
          <w:ilvl w:val="1"/>
          <w:numId w:val="2"/>
        </w:numPr>
        <w:tabs>
          <w:tab w:val="clear" w:pos="4153"/>
          <w:tab w:val="clear" w:pos="8306"/>
        </w:tabs>
        <w:ind w:hanging="720"/>
        <w:jc w:val="both"/>
      </w:pPr>
      <w:r w:rsidRPr="00CA1E66">
        <w:rPr>
          <w:szCs w:val="24"/>
        </w:rPr>
        <w:t>There are various other small over and under</w:t>
      </w:r>
      <w:r w:rsidR="00671182" w:rsidRPr="00CA1E66">
        <w:rPr>
          <w:szCs w:val="24"/>
        </w:rPr>
        <w:t xml:space="preserve"> </w:t>
      </w:r>
      <w:r w:rsidRPr="00CA1E66">
        <w:rPr>
          <w:szCs w:val="24"/>
        </w:rPr>
        <w:t>spends predicted across the</w:t>
      </w:r>
      <w:r w:rsidR="002A58DA" w:rsidRPr="00CA1E66">
        <w:rPr>
          <w:szCs w:val="24"/>
        </w:rPr>
        <w:t xml:space="preserve"> DSG totalling</w:t>
      </w:r>
      <w:r w:rsidR="00580DE7" w:rsidRPr="00CA1E66">
        <w:rPr>
          <w:szCs w:val="24"/>
        </w:rPr>
        <w:t xml:space="preserve"> £</w:t>
      </w:r>
      <w:r w:rsidR="00F523E8" w:rsidRPr="00CA1E66">
        <w:rPr>
          <w:szCs w:val="24"/>
        </w:rPr>
        <w:t>367</w:t>
      </w:r>
      <w:r w:rsidR="00AD3C1F" w:rsidRPr="00CA1E66">
        <w:rPr>
          <w:szCs w:val="24"/>
        </w:rPr>
        <w:t>k</w:t>
      </w:r>
      <w:r w:rsidR="00671182" w:rsidRPr="00CA1E66">
        <w:rPr>
          <w:szCs w:val="24"/>
        </w:rPr>
        <w:t xml:space="preserve">. </w:t>
      </w:r>
      <w:r w:rsidRPr="00CA1E66">
        <w:rPr>
          <w:szCs w:val="24"/>
        </w:rPr>
        <w:t>This, combine</w:t>
      </w:r>
      <w:r w:rsidR="00912D0D" w:rsidRPr="00CA1E66">
        <w:rPr>
          <w:szCs w:val="24"/>
        </w:rPr>
        <w:t>d</w:t>
      </w:r>
      <w:r w:rsidRPr="00CA1E66">
        <w:rPr>
          <w:szCs w:val="24"/>
        </w:rPr>
        <w:t xml:space="preserve"> with the items described above, equals the repor</w:t>
      </w:r>
      <w:r w:rsidR="00C2019B" w:rsidRPr="00CA1E66">
        <w:rPr>
          <w:szCs w:val="24"/>
        </w:rPr>
        <w:t>ted o</w:t>
      </w:r>
      <w:r w:rsidR="00671182" w:rsidRPr="00CA1E66">
        <w:rPr>
          <w:szCs w:val="24"/>
        </w:rPr>
        <w:t xml:space="preserve">utturn </w:t>
      </w:r>
      <w:r w:rsidR="00AD3C1F" w:rsidRPr="00CA1E66">
        <w:rPr>
          <w:szCs w:val="24"/>
        </w:rPr>
        <w:t>of £</w:t>
      </w:r>
      <w:r w:rsidR="00F523E8" w:rsidRPr="00CA1E66">
        <w:rPr>
          <w:szCs w:val="24"/>
        </w:rPr>
        <w:t>9.822</w:t>
      </w:r>
      <w:r w:rsidR="008C2492" w:rsidRPr="00CA1E66">
        <w:rPr>
          <w:szCs w:val="24"/>
        </w:rPr>
        <w:t>m</w:t>
      </w:r>
      <w:r w:rsidRPr="00CA1E66">
        <w:rPr>
          <w:szCs w:val="24"/>
        </w:rPr>
        <w:t>.</w:t>
      </w:r>
    </w:p>
    <w:p w14:paraId="6E6741CF" w14:textId="77777777" w:rsidR="002E2DD2" w:rsidRPr="00671182" w:rsidRDefault="002E2DD2">
      <w:pPr>
        <w:pStyle w:val="Header"/>
        <w:tabs>
          <w:tab w:val="clear" w:pos="4153"/>
          <w:tab w:val="clear" w:pos="8306"/>
        </w:tabs>
      </w:pPr>
    </w:p>
    <w:p w14:paraId="6E6741D0" w14:textId="77777777" w:rsidR="00904A8D" w:rsidRPr="00420DD5" w:rsidRDefault="008C2492">
      <w:pPr>
        <w:pStyle w:val="Header"/>
        <w:numPr>
          <w:ilvl w:val="0"/>
          <w:numId w:val="2"/>
        </w:numPr>
        <w:tabs>
          <w:tab w:val="clear" w:pos="4153"/>
          <w:tab w:val="clear" w:pos="8306"/>
        </w:tabs>
        <w:ind w:hanging="720"/>
        <w:rPr>
          <w:rFonts w:cs="Arial"/>
          <w:b/>
          <w:bCs/>
          <w:sz w:val="28"/>
        </w:rPr>
      </w:pPr>
      <w:r w:rsidRPr="00420DD5">
        <w:rPr>
          <w:rFonts w:cs="Arial"/>
          <w:b/>
          <w:bCs/>
          <w:sz w:val="28"/>
        </w:rPr>
        <w:t>Future pressure</w:t>
      </w:r>
    </w:p>
    <w:p w14:paraId="6E6741D1" w14:textId="77777777" w:rsidR="00904A8D" w:rsidRPr="00420DD5" w:rsidRDefault="00904A8D">
      <w:pPr>
        <w:rPr>
          <w:rFonts w:ascii="Arial" w:hAnsi="Arial" w:cs="Arial"/>
        </w:rPr>
      </w:pPr>
    </w:p>
    <w:p w14:paraId="6E6741D2" w14:textId="03BC6AE0" w:rsidR="00331168" w:rsidRPr="00420DD5" w:rsidRDefault="0000691E" w:rsidP="00CA1E66">
      <w:pPr>
        <w:numPr>
          <w:ilvl w:val="0"/>
          <w:numId w:val="8"/>
        </w:numPr>
        <w:tabs>
          <w:tab w:val="clear" w:pos="927"/>
          <w:tab w:val="num" w:pos="720"/>
        </w:tabs>
        <w:ind w:left="720" w:hanging="720"/>
        <w:jc w:val="both"/>
        <w:rPr>
          <w:rFonts w:ascii="Arial" w:hAnsi="Arial"/>
          <w:szCs w:val="20"/>
        </w:rPr>
      </w:pPr>
      <w:r w:rsidRPr="00420DD5">
        <w:rPr>
          <w:rFonts w:ascii="Arial" w:hAnsi="Arial"/>
          <w:szCs w:val="20"/>
        </w:rPr>
        <w:t>The overall cost for SEN has increased</w:t>
      </w:r>
      <w:r w:rsidR="00A90509" w:rsidRPr="00420DD5">
        <w:rPr>
          <w:rFonts w:ascii="Arial" w:hAnsi="Arial"/>
          <w:szCs w:val="20"/>
        </w:rPr>
        <w:t xml:space="preserve"> significantly over the past three</w:t>
      </w:r>
      <w:r w:rsidRPr="00420DD5">
        <w:rPr>
          <w:rFonts w:ascii="Arial" w:hAnsi="Arial"/>
          <w:szCs w:val="20"/>
        </w:rPr>
        <w:t xml:space="preserve"> years as a result of increased number</w:t>
      </w:r>
      <w:r w:rsidR="00724DEF" w:rsidRPr="00420DD5">
        <w:rPr>
          <w:rFonts w:ascii="Arial" w:hAnsi="Arial"/>
          <w:szCs w:val="20"/>
        </w:rPr>
        <w:t>s</w:t>
      </w:r>
      <w:r w:rsidRPr="00420DD5">
        <w:rPr>
          <w:rFonts w:ascii="Arial" w:hAnsi="Arial"/>
          <w:szCs w:val="20"/>
        </w:rPr>
        <w:t xml:space="preserve"> of pupils being supported. </w:t>
      </w:r>
      <w:r w:rsidR="003C33A0" w:rsidRPr="00420DD5">
        <w:rPr>
          <w:rFonts w:ascii="Arial" w:hAnsi="Arial"/>
          <w:szCs w:val="20"/>
        </w:rPr>
        <w:t xml:space="preserve">The </w:t>
      </w:r>
      <w:r w:rsidR="00CA1E66">
        <w:rPr>
          <w:rFonts w:ascii="Arial" w:hAnsi="Arial"/>
          <w:szCs w:val="20"/>
        </w:rPr>
        <w:t xml:space="preserve">following table </w:t>
      </w:r>
      <w:r w:rsidR="003C33A0" w:rsidRPr="00420DD5">
        <w:rPr>
          <w:rFonts w:ascii="Arial" w:hAnsi="Arial"/>
          <w:szCs w:val="20"/>
        </w:rPr>
        <w:t>details the impact of the increase</w:t>
      </w:r>
      <w:r w:rsidR="002D49FF" w:rsidRPr="00420DD5">
        <w:rPr>
          <w:rFonts w:ascii="Arial" w:hAnsi="Arial"/>
          <w:szCs w:val="20"/>
        </w:rPr>
        <w:t>.</w:t>
      </w:r>
    </w:p>
    <w:p w14:paraId="6E6741D3" w14:textId="3CC8460A" w:rsidR="0000691E" w:rsidRDefault="0000691E" w:rsidP="00CA1E66">
      <w:pPr>
        <w:ind w:left="720"/>
        <w:jc w:val="both"/>
        <w:rPr>
          <w:rFonts w:ascii="Arial" w:hAnsi="Arial"/>
          <w:szCs w:val="20"/>
        </w:rPr>
      </w:pPr>
    </w:p>
    <w:p w14:paraId="6A33C080" w14:textId="233D988A" w:rsidR="00CA1E66" w:rsidRDefault="00CA1E66" w:rsidP="0000691E">
      <w:pPr>
        <w:ind w:left="720"/>
        <w:rPr>
          <w:rFonts w:ascii="Arial" w:hAnsi="Arial"/>
          <w:szCs w:val="20"/>
        </w:rPr>
      </w:pPr>
    </w:p>
    <w:p w14:paraId="0D119F9B" w14:textId="2F06D09D" w:rsidR="00CA1E66" w:rsidRDefault="00CA1E66" w:rsidP="0000691E">
      <w:pPr>
        <w:ind w:left="720"/>
        <w:rPr>
          <w:rFonts w:ascii="Arial" w:hAnsi="Arial"/>
          <w:szCs w:val="20"/>
        </w:rPr>
      </w:pPr>
      <w:bookmarkStart w:id="0" w:name="_GoBack"/>
      <w:bookmarkEnd w:id="0"/>
    </w:p>
    <w:p w14:paraId="337DEF74" w14:textId="5E814990" w:rsidR="00CA1E66" w:rsidRDefault="00CA1E66" w:rsidP="0000691E">
      <w:pPr>
        <w:ind w:left="720"/>
        <w:rPr>
          <w:rFonts w:ascii="Arial" w:hAnsi="Arial"/>
          <w:szCs w:val="20"/>
        </w:rPr>
      </w:pPr>
    </w:p>
    <w:p w14:paraId="20EFF208" w14:textId="3FBB60AA" w:rsidR="00CA1E66" w:rsidRDefault="00CA1E66" w:rsidP="0000691E">
      <w:pPr>
        <w:ind w:left="720"/>
        <w:rPr>
          <w:rFonts w:ascii="Arial" w:hAnsi="Arial"/>
          <w:szCs w:val="20"/>
        </w:rPr>
      </w:pPr>
    </w:p>
    <w:p w14:paraId="12783E64" w14:textId="42FB0CFB" w:rsidR="00CA1E66" w:rsidRDefault="00CA1E66" w:rsidP="0000691E">
      <w:pPr>
        <w:ind w:left="720"/>
        <w:rPr>
          <w:rFonts w:ascii="Arial" w:hAnsi="Arial"/>
          <w:szCs w:val="20"/>
        </w:rPr>
      </w:pPr>
    </w:p>
    <w:p w14:paraId="342DC5FC" w14:textId="57E2DF8F" w:rsidR="00CA1E66" w:rsidRDefault="00CA1E66" w:rsidP="0000691E">
      <w:pPr>
        <w:ind w:left="720"/>
        <w:rPr>
          <w:rFonts w:ascii="Arial" w:hAnsi="Arial"/>
          <w:szCs w:val="20"/>
        </w:rPr>
      </w:pPr>
    </w:p>
    <w:p w14:paraId="35A760F8" w14:textId="77777777" w:rsidR="00CA1E66" w:rsidRPr="00420DD5" w:rsidRDefault="00CA1E66" w:rsidP="0000691E">
      <w:pPr>
        <w:ind w:left="720"/>
        <w:rPr>
          <w:rFonts w:ascii="Arial" w:hAnsi="Arial"/>
          <w:szCs w:val="20"/>
        </w:rPr>
      </w:pPr>
    </w:p>
    <w:tbl>
      <w:tblPr>
        <w:tblStyle w:val="TableGrid2"/>
        <w:tblW w:w="9781" w:type="dxa"/>
        <w:tblInd w:w="-5" w:type="dxa"/>
        <w:tblLayout w:type="fixed"/>
        <w:tblLook w:val="04A0" w:firstRow="1" w:lastRow="0" w:firstColumn="1" w:lastColumn="0" w:noHBand="0" w:noVBand="1"/>
      </w:tblPr>
      <w:tblGrid>
        <w:gridCol w:w="1985"/>
        <w:gridCol w:w="709"/>
        <w:gridCol w:w="850"/>
        <w:gridCol w:w="709"/>
        <w:gridCol w:w="851"/>
        <w:gridCol w:w="708"/>
        <w:gridCol w:w="851"/>
        <w:gridCol w:w="709"/>
        <w:gridCol w:w="850"/>
        <w:gridCol w:w="709"/>
        <w:gridCol w:w="850"/>
      </w:tblGrid>
      <w:tr w:rsidR="002D49FF" w:rsidRPr="00420DD5" w14:paraId="3B43DEDF" w14:textId="77777777" w:rsidTr="002D49FF">
        <w:tc>
          <w:tcPr>
            <w:tcW w:w="1985" w:type="dxa"/>
            <w:shd w:val="clear" w:color="auto" w:fill="0066FF"/>
          </w:tcPr>
          <w:p w14:paraId="001BF913" w14:textId="77777777" w:rsidR="002D49FF" w:rsidRPr="00420DD5" w:rsidRDefault="002D49FF" w:rsidP="00D105BA">
            <w:pPr>
              <w:rPr>
                <w:rFonts w:ascii="Arial" w:hAnsi="Arial" w:cs="Arial"/>
                <w:b/>
                <w:sz w:val="20"/>
                <w:szCs w:val="20"/>
              </w:rPr>
            </w:pPr>
            <w:r w:rsidRPr="00420DD5">
              <w:rPr>
                <w:rFonts w:ascii="Arial" w:hAnsi="Arial" w:cs="Arial"/>
                <w:b/>
                <w:sz w:val="20"/>
                <w:szCs w:val="20"/>
              </w:rPr>
              <w:lastRenderedPageBreak/>
              <w:t>Type of Provision</w:t>
            </w:r>
          </w:p>
        </w:tc>
        <w:tc>
          <w:tcPr>
            <w:tcW w:w="1559" w:type="dxa"/>
            <w:gridSpan w:val="2"/>
            <w:tcBorders>
              <w:bottom w:val="single" w:sz="4" w:space="0" w:color="auto"/>
            </w:tcBorders>
            <w:shd w:val="clear" w:color="auto" w:fill="0066FF"/>
          </w:tcPr>
          <w:p w14:paraId="4C2EFFBB" w14:textId="77777777" w:rsidR="002D49FF" w:rsidRPr="00420DD5" w:rsidRDefault="002D49FF" w:rsidP="00D105BA">
            <w:pPr>
              <w:rPr>
                <w:rFonts w:ascii="Arial" w:hAnsi="Arial" w:cs="Arial"/>
                <w:b/>
                <w:sz w:val="20"/>
                <w:szCs w:val="20"/>
              </w:rPr>
            </w:pPr>
            <w:r w:rsidRPr="00420DD5">
              <w:rPr>
                <w:rFonts w:ascii="Arial" w:hAnsi="Arial" w:cs="Arial"/>
                <w:b/>
                <w:sz w:val="20"/>
                <w:szCs w:val="20"/>
              </w:rPr>
              <w:t>Jan 2016 Total Statements and EHCPs</w:t>
            </w:r>
          </w:p>
        </w:tc>
        <w:tc>
          <w:tcPr>
            <w:tcW w:w="1560" w:type="dxa"/>
            <w:gridSpan w:val="2"/>
            <w:tcBorders>
              <w:bottom w:val="single" w:sz="4" w:space="0" w:color="auto"/>
            </w:tcBorders>
            <w:shd w:val="clear" w:color="auto" w:fill="0066FF"/>
          </w:tcPr>
          <w:p w14:paraId="42157AC2" w14:textId="77777777" w:rsidR="002D49FF" w:rsidRPr="00420DD5" w:rsidRDefault="002D49FF" w:rsidP="00D105BA">
            <w:pPr>
              <w:rPr>
                <w:rFonts w:ascii="Arial" w:hAnsi="Arial" w:cs="Arial"/>
                <w:b/>
                <w:sz w:val="20"/>
                <w:szCs w:val="20"/>
              </w:rPr>
            </w:pPr>
            <w:r w:rsidRPr="00420DD5">
              <w:rPr>
                <w:rFonts w:ascii="Arial" w:hAnsi="Arial" w:cs="Arial"/>
                <w:b/>
                <w:sz w:val="20"/>
                <w:szCs w:val="20"/>
              </w:rPr>
              <w:t>Jan 2017 Total Statements and EHCPs</w:t>
            </w:r>
          </w:p>
        </w:tc>
        <w:tc>
          <w:tcPr>
            <w:tcW w:w="1559" w:type="dxa"/>
            <w:gridSpan w:val="2"/>
            <w:tcBorders>
              <w:bottom w:val="single" w:sz="4" w:space="0" w:color="auto"/>
            </w:tcBorders>
            <w:shd w:val="clear" w:color="auto" w:fill="0066FF"/>
          </w:tcPr>
          <w:p w14:paraId="4D1333D3" w14:textId="77777777" w:rsidR="002D49FF" w:rsidRPr="00420DD5" w:rsidRDefault="002D49FF" w:rsidP="00D105BA">
            <w:pPr>
              <w:rPr>
                <w:rFonts w:ascii="Arial" w:hAnsi="Arial" w:cs="Arial"/>
                <w:b/>
                <w:sz w:val="20"/>
                <w:szCs w:val="20"/>
              </w:rPr>
            </w:pPr>
            <w:r w:rsidRPr="00420DD5">
              <w:rPr>
                <w:rFonts w:ascii="Arial" w:hAnsi="Arial" w:cs="Arial"/>
                <w:b/>
                <w:sz w:val="20"/>
                <w:szCs w:val="20"/>
              </w:rPr>
              <w:t>Jan 2018 Total Statements and EHCPs</w:t>
            </w:r>
          </w:p>
        </w:tc>
        <w:tc>
          <w:tcPr>
            <w:tcW w:w="1559" w:type="dxa"/>
            <w:gridSpan w:val="2"/>
            <w:tcBorders>
              <w:bottom w:val="single" w:sz="4" w:space="0" w:color="auto"/>
            </w:tcBorders>
            <w:shd w:val="clear" w:color="auto" w:fill="0066FF"/>
          </w:tcPr>
          <w:p w14:paraId="74B80D33" w14:textId="77777777" w:rsidR="002D49FF" w:rsidRPr="00420DD5" w:rsidRDefault="002D49FF" w:rsidP="00D105BA">
            <w:pPr>
              <w:rPr>
                <w:rFonts w:ascii="Arial" w:hAnsi="Arial" w:cs="Arial"/>
                <w:b/>
                <w:sz w:val="20"/>
                <w:szCs w:val="20"/>
              </w:rPr>
            </w:pPr>
            <w:r w:rsidRPr="00420DD5">
              <w:rPr>
                <w:rFonts w:ascii="Arial" w:hAnsi="Arial" w:cs="Arial"/>
                <w:b/>
                <w:sz w:val="20"/>
                <w:szCs w:val="20"/>
              </w:rPr>
              <w:t>Jan 2019 Total Statements and EHCPs</w:t>
            </w:r>
          </w:p>
        </w:tc>
        <w:tc>
          <w:tcPr>
            <w:tcW w:w="1559" w:type="dxa"/>
            <w:gridSpan w:val="2"/>
            <w:tcBorders>
              <w:bottom w:val="single" w:sz="4" w:space="0" w:color="auto"/>
            </w:tcBorders>
            <w:shd w:val="clear" w:color="auto" w:fill="0066FF"/>
          </w:tcPr>
          <w:p w14:paraId="53DF5EC7" w14:textId="77777777" w:rsidR="002D49FF" w:rsidRPr="00420DD5" w:rsidRDefault="002D49FF" w:rsidP="00D105BA">
            <w:pPr>
              <w:rPr>
                <w:rFonts w:ascii="Arial" w:hAnsi="Arial" w:cs="Arial"/>
                <w:b/>
                <w:sz w:val="20"/>
                <w:szCs w:val="20"/>
              </w:rPr>
            </w:pPr>
            <w:r w:rsidRPr="00420DD5">
              <w:rPr>
                <w:rFonts w:ascii="Arial" w:hAnsi="Arial" w:cs="Arial"/>
                <w:b/>
                <w:sz w:val="20"/>
                <w:szCs w:val="20"/>
              </w:rPr>
              <w:t>Jan 2020 Total Statements and EHCPs</w:t>
            </w:r>
          </w:p>
        </w:tc>
      </w:tr>
      <w:tr w:rsidR="002D49FF" w:rsidRPr="00420DD5" w14:paraId="14AC4EC1" w14:textId="77777777" w:rsidTr="002D49FF">
        <w:tc>
          <w:tcPr>
            <w:tcW w:w="1985" w:type="dxa"/>
            <w:shd w:val="clear" w:color="auto" w:fill="0066FF"/>
          </w:tcPr>
          <w:p w14:paraId="35C9DE0A" w14:textId="77777777" w:rsidR="002D49FF" w:rsidRPr="00420DD5" w:rsidRDefault="002D49FF" w:rsidP="00D105BA">
            <w:pPr>
              <w:rPr>
                <w:rFonts w:ascii="Arial" w:hAnsi="Arial" w:cs="Arial"/>
                <w:sz w:val="20"/>
                <w:szCs w:val="20"/>
              </w:rPr>
            </w:pPr>
          </w:p>
        </w:tc>
        <w:tc>
          <w:tcPr>
            <w:tcW w:w="709" w:type="dxa"/>
            <w:shd w:val="clear" w:color="auto" w:fill="0066FF"/>
          </w:tcPr>
          <w:p w14:paraId="1C57F4FC" w14:textId="77777777" w:rsidR="002D49FF" w:rsidRPr="00420DD5" w:rsidRDefault="002D49FF" w:rsidP="00D105BA">
            <w:pPr>
              <w:rPr>
                <w:rFonts w:ascii="Arial" w:hAnsi="Arial" w:cs="Arial"/>
                <w:sz w:val="20"/>
                <w:szCs w:val="20"/>
              </w:rPr>
            </w:pPr>
            <w:r w:rsidRPr="00420DD5">
              <w:rPr>
                <w:rFonts w:ascii="Arial" w:hAnsi="Arial" w:cs="Arial"/>
                <w:sz w:val="20"/>
                <w:szCs w:val="20"/>
              </w:rPr>
              <w:t>No</w:t>
            </w:r>
          </w:p>
        </w:tc>
        <w:tc>
          <w:tcPr>
            <w:tcW w:w="850" w:type="dxa"/>
            <w:shd w:val="clear" w:color="auto" w:fill="0066FF"/>
          </w:tcPr>
          <w:p w14:paraId="755E28BB" w14:textId="77777777" w:rsidR="002D49FF" w:rsidRPr="00420DD5" w:rsidRDefault="002D49FF" w:rsidP="00D105BA">
            <w:pPr>
              <w:rPr>
                <w:rFonts w:ascii="Arial" w:hAnsi="Arial" w:cs="Arial"/>
                <w:sz w:val="20"/>
                <w:szCs w:val="20"/>
              </w:rPr>
            </w:pPr>
            <w:r w:rsidRPr="00420DD5">
              <w:rPr>
                <w:rFonts w:ascii="Arial" w:hAnsi="Arial" w:cs="Arial"/>
                <w:sz w:val="20"/>
                <w:szCs w:val="20"/>
              </w:rPr>
              <w:t>%</w:t>
            </w:r>
          </w:p>
        </w:tc>
        <w:tc>
          <w:tcPr>
            <w:tcW w:w="709" w:type="dxa"/>
            <w:shd w:val="clear" w:color="auto" w:fill="0066FF"/>
          </w:tcPr>
          <w:p w14:paraId="384D8F30" w14:textId="77777777" w:rsidR="002D49FF" w:rsidRPr="00420DD5" w:rsidRDefault="002D49FF" w:rsidP="00D105BA">
            <w:pPr>
              <w:rPr>
                <w:rFonts w:ascii="Arial" w:hAnsi="Arial" w:cs="Arial"/>
                <w:sz w:val="20"/>
                <w:szCs w:val="20"/>
              </w:rPr>
            </w:pPr>
            <w:r w:rsidRPr="00420DD5">
              <w:rPr>
                <w:rFonts w:ascii="Arial" w:hAnsi="Arial" w:cs="Arial"/>
                <w:sz w:val="20"/>
                <w:szCs w:val="20"/>
              </w:rPr>
              <w:t>No</w:t>
            </w:r>
          </w:p>
        </w:tc>
        <w:tc>
          <w:tcPr>
            <w:tcW w:w="851" w:type="dxa"/>
            <w:shd w:val="clear" w:color="auto" w:fill="0066FF"/>
          </w:tcPr>
          <w:p w14:paraId="127AE4A7" w14:textId="77777777" w:rsidR="002D49FF" w:rsidRPr="00420DD5" w:rsidRDefault="002D49FF" w:rsidP="00D105BA">
            <w:pPr>
              <w:rPr>
                <w:rFonts w:ascii="Arial" w:hAnsi="Arial" w:cs="Arial"/>
                <w:sz w:val="20"/>
                <w:szCs w:val="20"/>
              </w:rPr>
            </w:pPr>
            <w:r w:rsidRPr="00420DD5">
              <w:rPr>
                <w:rFonts w:ascii="Arial" w:hAnsi="Arial" w:cs="Arial"/>
                <w:sz w:val="20"/>
                <w:szCs w:val="20"/>
              </w:rPr>
              <w:t>%</w:t>
            </w:r>
          </w:p>
        </w:tc>
        <w:tc>
          <w:tcPr>
            <w:tcW w:w="708" w:type="dxa"/>
            <w:shd w:val="clear" w:color="auto" w:fill="0066FF"/>
          </w:tcPr>
          <w:p w14:paraId="0FA2A7B3" w14:textId="77777777" w:rsidR="002D49FF" w:rsidRPr="00420DD5" w:rsidRDefault="002D49FF" w:rsidP="00D105BA">
            <w:pPr>
              <w:rPr>
                <w:rFonts w:ascii="Arial" w:hAnsi="Arial" w:cs="Arial"/>
                <w:sz w:val="20"/>
                <w:szCs w:val="20"/>
              </w:rPr>
            </w:pPr>
            <w:r w:rsidRPr="00420DD5">
              <w:rPr>
                <w:rFonts w:ascii="Arial" w:hAnsi="Arial" w:cs="Arial"/>
                <w:sz w:val="20"/>
                <w:szCs w:val="20"/>
              </w:rPr>
              <w:t>No</w:t>
            </w:r>
          </w:p>
        </w:tc>
        <w:tc>
          <w:tcPr>
            <w:tcW w:w="851" w:type="dxa"/>
            <w:shd w:val="clear" w:color="auto" w:fill="0066FF"/>
          </w:tcPr>
          <w:p w14:paraId="6E082703" w14:textId="77777777" w:rsidR="002D49FF" w:rsidRPr="00420DD5" w:rsidRDefault="002D49FF" w:rsidP="00D105BA">
            <w:pPr>
              <w:rPr>
                <w:rFonts w:ascii="Arial" w:hAnsi="Arial" w:cs="Arial"/>
                <w:sz w:val="20"/>
                <w:szCs w:val="20"/>
              </w:rPr>
            </w:pPr>
            <w:r w:rsidRPr="00420DD5">
              <w:rPr>
                <w:rFonts w:ascii="Arial" w:hAnsi="Arial" w:cs="Arial"/>
                <w:sz w:val="20"/>
                <w:szCs w:val="20"/>
              </w:rPr>
              <w:t>%</w:t>
            </w:r>
          </w:p>
        </w:tc>
        <w:tc>
          <w:tcPr>
            <w:tcW w:w="709" w:type="dxa"/>
            <w:shd w:val="clear" w:color="auto" w:fill="0066FF"/>
          </w:tcPr>
          <w:p w14:paraId="49CD85A4" w14:textId="77777777" w:rsidR="002D49FF" w:rsidRPr="00420DD5" w:rsidRDefault="002D49FF" w:rsidP="00D105BA">
            <w:pPr>
              <w:rPr>
                <w:rFonts w:ascii="Arial" w:hAnsi="Arial" w:cs="Arial"/>
                <w:sz w:val="20"/>
                <w:szCs w:val="20"/>
              </w:rPr>
            </w:pPr>
            <w:r w:rsidRPr="00420DD5">
              <w:rPr>
                <w:rFonts w:ascii="Arial" w:hAnsi="Arial" w:cs="Arial"/>
                <w:sz w:val="20"/>
                <w:szCs w:val="20"/>
              </w:rPr>
              <w:t>No</w:t>
            </w:r>
          </w:p>
        </w:tc>
        <w:tc>
          <w:tcPr>
            <w:tcW w:w="850" w:type="dxa"/>
            <w:shd w:val="clear" w:color="auto" w:fill="0066FF"/>
          </w:tcPr>
          <w:p w14:paraId="6C8CBF9D" w14:textId="77777777" w:rsidR="002D49FF" w:rsidRPr="00420DD5" w:rsidRDefault="002D49FF" w:rsidP="00D105BA">
            <w:pPr>
              <w:rPr>
                <w:rFonts w:ascii="Arial" w:hAnsi="Arial" w:cs="Arial"/>
                <w:sz w:val="20"/>
                <w:szCs w:val="20"/>
              </w:rPr>
            </w:pPr>
            <w:r w:rsidRPr="00420DD5">
              <w:rPr>
                <w:rFonts w:ascii="Arial" w:hAnsi="Arial" w:cs="Arial"/>
                <w:sz w:val="20"/>
                <w:szCs w:val="20"/>
              </w:rPr>
              <w:t>%</w:t>
            </w:r>
          </w:p>
        </w:tc>
        <w:tc>
          <w:tcPr>
            <w:tcW w:w="709" w:type="dxa"/>
            <w:shd w:val="clear" w:color="auto" w:fill="0066FF"/>
          </w:tcPr>
          <w:p w14:paraId="6E9FDE79" w14:textId="77777777" w:rsidR="002D49FF" w:rsidRPr="00420DD5" w:rsidRDefault="002D49FF" w:rsidP="00D105BA">
            <w:pPr>
              <w:rPr>
                <w:rFonts w:ascii="Arial" w:hAnsi="Arial" w:cs="Arial"/>
                <w:sz w:val="20"/>
                <w:szCs w:val="20"/>
              </w:rPr>
            </w:pPr>
            <w:r w:rsidRPr="00420DD5">
              <w:rPr>
                <w:rFonts w:ascii="Arial" w:hAnsi="Arial" w:cs="Arial"/>
                <w:sz w:val="20"/>
                <w:szCs w:val="20"/>
              </w:rPr>
              <w:t>No</w:t>
            </w:r>
          </w:p>
        </w:tc>
        <w:tc>
          <w:tcPr>
            <w:tcW w:w="850" w:type="dxa"/>
            <w:shd w:val="clear" w:color="auto" w:fill="0066FF"/>
          </w:tcPr>
          <w:p w14:paraId="0626AC4A" w14:textId="77777777" w:rsidR="002D49FF" w:rsidRPr="00420DD5" w:rsidRDefault="002D49FF" w:rsidP="00D105BA">
            <w:pPr>
              <w:rPr>
                <w:rFonts w:ascii="Arial" w:hAnsi="Arial" w:cs="Arial"/>
                <w:sz w:val="20"/>
                <w:szCs w:val="20"/>
              </w:rPr>
            </w:pPr>
            <w:r w:rsidRPr="00420DD5">
              <w:rPr>
                <w:rFonts w:ascii="Arial" w:hAnsi="Arial" w:cs="Arial"/>
                <w:sz w:val="20"/>
                <w:szCs w:val="20"/>
              </w:rPr>
              <w:t>%</w:t>
            </w:r>
          </w:p>
        </w:tc>
      </w:tr>
      <w:tr w:rsidR="002D49FF" w:rsidRPr="00420DD5" w14:paraId="610F6FA2" w14:textId="77777777" w:rsidTr="002D49FF">
        <w:tc>
          <w:tcPr>
            <w:tcW w:w="1985" w:type="dxa"/>
          </w:tcPr>
          <w:p w14:paraId="3155FA9C" w14:textId="77777777" w:rsidR="002D49FF" w:rsidRPr="00420DD5" w:rsidRDefault="002D49FF" w:rsidP="00D105BA">
            <w:pPr>
              <w:rPr>
                <w:rFonts w:ascii="Arial" w:hAnsi="Arial" w:cs="Arial"/>
                <w:sz w:val="20"/>
                <w:szCs w:val="20"/>
              </w:rPr>
            </w:pPr>
            <w:r w:rsidRPr="00420DD5">
              <w:rPr>
                <w:rFonts w:ascii="Arial" w:hAnsi="Arial" w:cs="Arial"/>
                <w:sz w:val="20"/>
                <w:szCs w:val="20"/>
              </w:rPr>
              <w:t>Early Years (incl. Private &amp; Voluntary Settings)</w:t>
            </w:r>
          </w:p>
        </w:tc>
        <w:tc>
          <w:tcPr>
            <w:tcW w:w="709" w:type="dxa"/>
          </w:tcPr>
          <w:p w14:paraId="4A7C0ADD" w14:textId="77777777" w:rsidR="002D49FF" w:rsidRPr="00420DD5" w:rsidRDefault="002D49FF" w:rsidP="00D105BA">
            <w:pPr>
              <w:rPr>
                <w:sz w:val="22"/>
                <w:szCs w:val="22"/>
              </w:rPr>
            </w:pPr>
            <w:r w:rsidRPr="00420DD5">
              <w:rPr>
                <w:sz w:val="22"/>
                <w:szCs w:val="22"/>
              </w:rPr>
              <w:t xml:space="preserve">0 </w:t>
            </w:r>
          </w:p>
        </w:tc>
        <w:tc>
          <w:tcPr>
            <w:tcW w:w="850" w:type="dxa"/>
          </w:tcPr>
          <w:p w14:paraId="13B9921C" w14:textId="77777777" w:rsidR="002D49FF" w:rsidRPr="00420DD5" w:rsidRDefault="002D49FF" w:rsidP="00D105BA">
            <w:pPr>
              <w:rPr>
                <w:sz w:val="22"/>
                <w:szCs w:val="22"/>
              </w:rPr>
            </w:pPr>
            <w:r w:rsidRPr="00420DD5">
              <w:rPr>
                <w:sz w:val="22"/>
                <w:szCs w:val="22"/>
              </w:rPr>
              <w:t>0%</w:t>
            </w:r>
          </w:p>
        </w:tc>
        <w:tc>
          <w:tcPr>
            <w:tcW w:w="709" w:type="dxa"/>
          </w:tcPr>
          <w:p w14:paraId="5126FD22" w14:textId="77777777" w:rsidR="002D49FF" w:rsidRPr="00420DD5" w:rsidRDefault="002D49FF" w:rsidP="00D105BA">
            <w:pPr>
              <w:rPr>
                <w:sz w:val="22"/>
                <w:szCs w:val="22"/>
              </w:rPr>
            </w:pPr>
            <w:r w:rsidRPr="00420DD5">
              <w:rPr>
                <w:sz w:val="22"/>
                <w:szCs w:val="22"/>
              </w:rPr>
              <w:t>1</w:t>
            </w:r>
          </w:p>
        </w:tc>
        <w:tc>
          <w:tcPr>
            <w:tcW w:w="851" w:type="dxa"/>
          </w:tcPr>
          <w:p w14:paraId="5FC9EDB2" w14:textId="77777777" w:rsidR="002D49FF" w:rsidRPr="00420DD5" w:rsidRDefault="002D49FF" w:rsidP="00D105BA">
            <w:pPr>
              <w:rPr>
                <w:sz w:val="22"/>
                <w:szCs w:val="22"/>
              </w:rPr>
            </w:pPr>
            <w:r w:rsidRPr="00420DD5">
              <w:rPr>
                <w:sz w:val="22"/>
                <w:szCs w:val="22"/>
              </w:rPr>
              <w:t>0%</w:t>
            </w:r>
          </w:p>
        </w:tc>
        <w:tc>
          <w:tcPr>
            <w:tcW w:w="708" w:type="dxa"/>
          </w:tcPr>
          <w:p w14:paraId="60B0B887" w14:textId="77777777" w:rsidR="002D49FF" w:rsidRPr="00420DD5" w:rsidRDefault="002D49FF" w:rsidP="00D105BA">
            <w:pPr>
              <w:rPr>
                <w:sz w:val="22"/>
                <w:szCs w:val="22"/>
              </w:rPr>
            </w:pPr>
            <w:r w:rsidRPr="00420DD5">
              <w:rPr>
                <w:sz w:val="22"/>
                <w:szCs w:val="22"/>
              </w:rPr>
              <w:t>7</w:t>
            </w:r>
          </w:p>
        </w:tc>
        <w:tc>
          <w:tcPr>
            <w:tcW w:w="851" w:type="dxa"/>
          </w:tcPr>
          <w:p w14:paraId="76A3FE56" w14:textId="77777777" w:rsidR="002D49FF" w:rsidRPr="00420DD5" w:rsidRDefault="002D49FF" w:rsidP="00D105BA">
            <w:pPr>
              <w:rPr>
                <w:sz w:val="22"/>
                <w:szCs w:val="22"/>
              </w:rPr>
            </w:pPr>
            <w:r w:rsidRPr="00420DD5">
              <w:rPr>
                <w:sz w:val="22"/>
                <w:szCs w:val="22"/>
              </w:rPr>
              <w:t>0%</w:t>
            </w:r>
          </w:p>
        </w:tc>
        <w:tc>
          <w:tcPr>
            <w:tcW w:w="709" w:type="dxa"/>
          </w:tcPr>
          <w:p w14:paraId="0C612DA5" w14:textId="77777777" w:rsidR="002D49FF" w:rsidRPr="00420DD5" w:rsidRDefault="002D49FF" w:rsidP="00D105BA">
            <w:pPr>
              <w:rPr>
                <w:sz w:val="22"/>
                <w:szCs w:val="22"/>
              </w:rPr>
            </w:pPr>
            <w:r w:rsidRPr="00420DD5">
              <w:rPr>
                <w:sz w:val="22"/>
                <w:szCs w:val="22"/>
              </w:rPr>
              <w:t>7</w:t>
            </w:r>
          </w:p>
        </w:tc>
        <w:tc>
          <w:tcPr>
            <w:tcW w:w="850" w:type="dxa"/>
          </w:tcPr>
          <w:p w14:paraId="0720C4EC" w14:textId="77777777" w:rsidR="002D49FF" w:rsidRPr="00420DD5" w:rsidRDefault="002D49FF" w:rsidP="00D105BA">
            <w:pPr>
              <w:rPr>
                <w:sz w:val="22"/>
                <w:szCs w:val="22"/>
              </w:rPr>
            </w:pPr>
            <w:r w:rsidRPr="00420DD5">
              <w:rPr>
                <w:sz w:val="22"/>
                <w:szCs w:val="22"/>
              </w:rPr>
              <w:t>0%</w:t>
            </w:r>
          </w:p>
        </w:tc>
        <w:tc>
          <w:tcPr>
            <w:tcW w:w="709" w:type="dxa"/>
          </w:tcPr>
          <w:p w14:paraId="0F2F4B22" w14:textId="77777777" w:rsidR="002D49FF" w:rsidRPr="00420DD5" w:rsidRDefault="002D49FF" w:rsidP="00D105BA">
            <w:pPr>
              <w:rPr>
                <w:sz w:val="22"/>
                <w:szCs w:val="22"/>
              </w:rPr>
            </w:pPr>
            <w:r w:rsidRPr="00420DD5">
              <w:rPr>
                <w:sz w:val="22"/>
                <w:szCs w:val="22"/>
              </w:rPr>
              <w:t>7</w:t>
            </w:r>
          </w:p>
        </w:tc>
        <w:tc>
          <w:tcPr>
            <w:tcW w:w="850" w:type="dxa"/>
          </w:tcPr>
          <w:p w14:paraId="24621013" w14:textId="77777777" w:rsidR="002D49FF" w:rsidRPr="00420DD5" w:rsidRDefault="002D49FF" w:rsidP="00D105BA">
            <w:pPr>
              <w:rPr>
                <w:sz w:val="22"/>
                <w:szCs w:val="22"/>
              </w:rPr>
            </w:pPr>
            <w:r w:rsidRPr="00420DD5">
              <w:rPr>
                <w:sz w:val="22"/>
                <w:szCs w:val="22"/>
              </w:rPr>
              <w:t>0%</w:t>
            </w:r>
          </w:p>
        </w:tc>
      </w:tr>
      <w:tr w:rsidR="002D49FF" w:rsidRPr="00420DD5" w14:paraId="0CB3B273" w14:textId="77777777" w:rsidTr="002D49FF">
        <w:tc>
          <w:tcPr>
            <w:tcW w:w="1985" w:type="dxa"/>
          </w:tcPr>
          <w:p w14:paraId="283A85AD" w14:textId="77777777" w:rsidR="002D49FF" w:rsidRPr="00420DD5" w:rsidRDefault="002D49FF" w:rsidP="00D105BA">
            <w:pPr>
              <w:rPr>
                <w:sz w:val="22"/>
                <w:szCs w:val="22"/>
              </w:rPr>
            </w:pPr>
            <w:r w:rsidRPr="00420DD5">
              <w:rPr>
                <w:sz w:val="22"/>
                <w:szCs w:val="22"/>
              </w:rPr>
              <w:t>Mainstream Schools (incl. Academies, Free and Independent)</w:t>
            </w:r>
          </w:p>
        </w:tc>
        <w:tc>
          <w:tcPr>
            <w:tcW w:w="709" w:type="dxa"/>
          </w:tcPr>
          <w:p w14:paraId="6826FFEF" w14:textId="77777777" w:rsidR="002D49FF" w:rsidRPr="00420DD5" w:rsidRDefault="002D49FF" w:rsidP="00D105BA">
            <w:pPr>
              <w:rPr>
                <w:sz w:val="22"/>
                <w:szCs w:val="22"/>
              </w:rPr>
            </w:pPr>
            <w:r w:rsidRPr="00420DD5">
              <w:rPr>
                <w:sz w:val="22"/>
                <w:szCs w:val="22"/>
              </w:rPr>
              <w:t>422</w:t>
            </w:r>
          </w:p>
        </w:tc>
        <w:tc>
          <w:tcPr>
            <w:tcW w:w="850" w:type="dxa"/>
          </w:tcPr>
          <w:p w14:paraId="3B35559B" w14:textId="77777777" w:rsidR="002D49FF" w:rsidRPr="00420DD5" w:rsidRDefault="002D49FF" w:rsidP="00D105BA">
            <w:pPr>
              <w:rPr>
                <w:sz w:val="22"/>
                <w:szCs w:val="22"/>
              </w:rPr>
            </w:pPr>
            <w:r w:rsidRPr="00420DD5">
              <w:rPr>
                <w:sz w:val="22"/>
                <w:szCs w:val="22"/>
              </w:rPr>
              <w:t>39%</w:t>
            </w:r>
          </w:p>
        </w:tc>
        <w:tc>
          <w:tcPr>
            <w:tcW w:w="709" w:type="dxa"/>
          </w:tcPr>
          <w:p w14:paraId="0821F6BA" w14:textId="77777777" w:rsidR="002D49FF" w:rsidRPr="00420DD5" w:rsidRDefault="002D49FF" w:rsidP="00D105BA">
            <w:pPr>
              <w:rPr>
                <w:sz w:val="22"/>
                <w:szCs w:val="22"/>
              </w:rPr>
            </w:pPr>
            <w:r w:rsidRPr="00420DD5">
              <w:rPr>
                <w:sz w:val="22"/>
                <w:szCs w:val="22"/>
              </w:rPr>
              <w:t>461</w:t>
            </w:r>
          </w:p>
        </w:tc>
        <w:tc>
          <w:tcPr>
            <w:tcW w:w="851" w:type="dxa"/>
          </w:tcPr>
          <w:p w14:paraId="1A02E1C3" w14:textId="77777777" w:rsidR="002D49FF" w:rsidRPr="00420DD5" w:rsidRDefault="002D49FF" w:rsidP="00D105BA">
            <w:pPr>
              <w:rPr>
                <w:sz w:val="22"/>
                <w:szCs w:val="22"/>
              </w:rPr>
            </w:pPr>
            <w:r w:rsidRPr="00420DD5">
              <w:rPr>
                <w:sz w:val="22"/>
                <w:szCs w:val="22"/>
              </w:rPr>
              <w:t>37%</w:t>
            </w:r>
          </w:p>
        </w:tc>
        <w:tc>
          <w:tcPr>
            <w:tcW w:w="708" w:type="dxa"/>
          </w:tcPr>
          <w:p w14:paraId="7B9BC569" w14:textId="77777777" w:rsidR="002D49FF" w:rsidRPr="00420DD5" w:rsidRDefault="002D49FF" w:rsidP="00D105BA">
            <w:pPr>
              <w:rPr>
                <w:sz w:val="22"/>
                <w:szCs w:val="22"/>
              </w:rPr>
            </w:pPr>
            <w:r w:rsidRPr="00420DD5">
              <w:rPr>
                <w:sz w:val="22"/>
                <w:szCs w:val="22"/>
              </w:rPr>
              <w:t>526</w:t>
            </w:r>
          </w:p>
        </w:tc>
        <w:tc>
          <w:tcPr>
            <w:tcW w:w="851" w:type="dxa"/>
          </w:tcPr>
          <w:p w14:paraId="21F1499A" w14:textId="77777777" w:rsidR="002D49FF" w:rsidRPr="00420DD5" w:rsidRDefault="002D49FF" w:rsidP="00D105BA">
            <w:pPr>
              <w:rPr>
                <w:sz w:val="22"/>
                <w:szCs w:val="22"/>
              </w:rPr>
            </w:pPr>
            <w:r w:rsidRPr="00420DD5">
              <w:rPr>
                <w:sz w:val="22"/>
                <w:szCs w:val="22"/>
              </w:rPr>
              <w:t>35%</w:t>
            </w:r>
          </w:p>
        </w:tc>
        <w:tc>
          <w:tcPr>
            <w:tcW w:w="709" w:type="dxa"/>
          </w:tcPr>
          <w:p w14:paraId="40A1678C" w14:textId="77777777" w:rsidR="002D49FF" w:rsidRPr="00420DD5" w:rsidRDefault="002D49FF" w:rsidP="00D105BA">
            <w:pPr>
              <w:rPr>
                <w:sz w:val="22"/>
                <w:szCs w:val="22"/>
              </w:rPr>
            </w:pPr>
            <w:r w:rsidRPr="00420DD5">
              <w:rPr>
                <w:sz w:val="22"/>
                <w:szCs w:val="22"/>
              </w:rPr>
              <w:t>584</w:t>
            </w:r>
          </w:p>
        </w:tc>
        <w:tc>
          <w:tcPr>
            <w:tcW w:w="850" w:type="dxa"/>
          </w:tcPr>
          <w:p w14:paraId="0B0E2E18" w14:textId="77777777" w:rsidR="002D49FF" w:rsidRPr="00420DD5" w:rsidRDefault="002D49FF" w:rsidP="00D105BA">
            <w:pPr>
              <w:rPr>
                <w:sz w:val="22"/>
                <w:szCs w:val="22"/>
              </w:rPr>
            </w:pPr>
            <w:r w:rsidRPr="00420DD5">
              <w:rPr>
                <w:sz w:val="22"/>
                <w:szCs w:val="22"/>
              </w:rPr>
              <w:t>34%</w:t>
            </w:r>
          </w:p>
        </w:tc>
        <w:tc>
          <w:tcPr>
            <w:tcW w:w="709" w:type="dxa"/>
          </w:tcPr>
          <w:p w14:paraId="3A0B0617" w14:textId="77777777" w:rsidR="002D49FF" w:rsidRPr="00420DD5" w:rsidRDefault="002D49FF" w:rsidP="00D105BA">
            <w:pPr>
              <w:rPr>
                <w:sz w:val="22"/>
                <w:szCs w:val="22"/>
              </w:rPr>
            </w:pPr>
            <w:r w:rsidRPr="00420DD5">
              <w:rPr>
                <w:sz w:val="22"/>
                <w:szCs w:val="22"/>
              </w:rPr>
              <w:t>707</w:t>
            </w:r>
          </w:p>
        </w:tc>
        <w:tc>
          <w:tcPr>
            <w:tcW w:w="850" w:type="dxa"/>
          </w:tcPr>
          <w:p w14:paraId="53F5831C" w14:textId="77777777" w:rsidR="002D49FF" w:rsidRPr="00420DD5" w:rsidRDefault="002D49FF" w:rsidP="00D105BA">
            <w:pPr>
              <w:rPr>
                <w:sz w:val="22"/>
                <w:szCs w:val="22"/>
              </w:rPr>
            </w:pPr>
            <w:r w:rsidRPr="00420DD5">
              <w:rPr>
                <w:sz w:val="22"/>
                <w:szCs w:val="22"/>
              </w:rPr>
              <w:t>37%</w:t>
            </w:r>
          </w:p>
        </w:tc>
      </w:tr>
      <w:tr w:rsidR="002D49FF" w:rsidRPr="00420DD5" w14:paraId="1FE605CC" w14:textId="77777777" w:rsidTr="002D49FF">
        <w:tc>
          <w:tcPr>
            <w:tcW w:w="1985" w:type="dxa"/>
          </w:tcPr>
          <w:p w14:paraId="64D1A11E" w14:textId="77777777" w:rsidR="002D49FF" w:rsidRPr="00420DD5" w:rsidRDefault="002D49FF" w:rsidP="00D105BA">
            <w:pPr>
              <w:rPr>
                <w:sz w:val="22"/>
                <w:szCs w:val="22"/>
              </w:rPr>
            </w:pPr>
            <w:r w:rsidRPr="00420DD5">
              <w:rPr>
                <w:sz w:val="22"/>
                <w:szCs w:val="22"/>
              </w:rPr>
              <w:t>Additional Resourced Provision</w:t>
            </w:r>
          </w:p>
        </w:tc>
        <w:tc>
          <w:tcPr>
            <w:tcW w:w="709" w:type="dxa"/>
          </w:tcPr>
          <w:p w14:paraId="591EF6B4" w14:textId="77777777" w:rsidR="002D49FF" w:rsidRPr="00420DD5" w:rsidRDefault="002D49FF" w:rsidP="00D105BA">
            <w:pPr>
              <w:rPr>
                <w:sz w:val="22"/>
                <w:szCs w:val="22"/>
              </w:rPr>
            </w:pPr>
            <w:r w:rsidRPr="00420DD5">
              <w:rPr>
                <w:sz w:val="22"/>
                <w:szCs w:val="22"/>
              </w:rPr>
              <w:t>110</w:t>
            </w:r>
          </w:p>
        </w:tc>
        <w:tc>
          <w:tcPr>
            <w:tcW w:w="850" w:type="dxa"/>
          </w:tcPr>
          <w:p w14:paraId="13EB4C6E" w14:textId="77777777" w:rsidR="002D49FF" w:rsidRPr="00420DD5" w:rsidRDefault="002D49FF" w:rsidP="00D105BA">
            <w:pPr>
              <w:rPr>
                <w:sz w:val="22"/>
                <w:szCs w:val="22"/>
              </w:rPr>
            </w:pPr>
            <w:r w:rsidRPr="00420DD5">
              <w:rPr>
                <w:sz w:val="22"/>
                <w:szCs w:val="22"/>
              </w:rPr>
              <w:t>10%</w:t>
            </w:r>
          </w:p>
        </w:tc>
        <w:tc>
          <w:tcPr>
            <w:tcW w:w="709" w:type="dxa"/>
          </w:tcPr>
          <w:p w14:paraId="44DFE729" w14:textId="77777777" w:rsidR="002D49FF" w:rsidRPr="00420DD5" w:rsidRDefault="002D49FF" w:rsidP="00D105BA">
            <w:pPr>
              <w:rPr>
                <w:sz w:val="22"/>
                <w:szCs w:val="22"/>
              </w:rPr>
            </w:pPr>
            <w:r w:rsidRPr="00420DD5">
              <w:rPr>
                <w:sz w:val="22"/>
                <w:szCs w:val="22"/>
              </w:rPr>
              <w:t>111</w:t>
            </w:r>
          </w:p>
        </w:tc>
        <w:tc>
          <w:tcPr>
            <w:tcW w:w="851" w:type="dxa"/>
          </w:tcPr>
          <w:p w14:paraId="5CB3E982" w14:textId="77777777" w:rsidR="002D49FF" w:rsidRPr="00420DD5" w:rsidRDefault="002D49FF" w:rsidP="00D105BA">
            <w:pPr>
              <w:rPr>
                <w:sz w:val="22"/>
                <w:szCs w:val="22"/>
              </w:rPr>
            </w:pPr>
            <w:r w:rsidRPr="00420DD5">
              <w:rPr>
                <w:sz w:val="22"/>
                <w:szCs w:val="22"/>
              </w:rPr>
              <w:t>9%</w:t>
            </w:r>
          </w:p>
        </w:tc>
        <w:tc>
          <w:tcPr>
            <w:tcW w:w="708" w:type="dxa"/>
          </w:tcPr>
          <w:p w14:paraId="7D12035A" w14:textId="77777777" w:rsidR="002D49FF" w:rsidRPr="00420DD5" w:rsidRDefault="002D49FF" w:rsidP="00D105BA">
            <w:pPr>
              <w:rPr>
                <w:sz w:val="22"/>
                <w:szCs w:val="22"/>
              </w:rPr>
            </w:pPr>
            <w:r w:rsidRPr="00420DD5">
              <w:rPr>
                <w:sz w:val="22"/>
                <w:szCs w:val="22"/>
              </w:rPr>
              <w:t>116</w:t>
            </w:r>
          </w:p>
        </w:tc>
        <w:tc>
          <w:tcPr>
            <w:tcW w:w="851" w:type="dxa"/>
          </w:tcPr>
          <w:p w14:paraId="37179FD0" w14:textId="77777777" w:rsidR="002D49FF" w:rsidRPr="00420DD5" w:rsidRDefault="002D49FF" w:rsidP="00D105BA">
            <w:pPr>
              <w:rPr>
                <w:sz w:val="22"/>
                <w:szCs w:val="22"/>
              </w:rPr>
            </w:pPr>
            <w:r w:rsidRPr="00420DD5">
              <w:rPr>
                <w:sz w:val="22"/>
                <w:szCs w:val="22"/>
              </w:rPr>
              <w:t>8%</w:t>
            </w:r>
          </w:p>
        </w:tc>
        <w:tc>
          <w:tcPr>
            <w:tcW w:w="709" w:type="dxa"/>
          </w:tcPr>
          <w:p w14:paraId="205ABBD1" w14:textId="77777777" w:rsidR="002D49FF" w:rsidRPr="00420DD5" w:rsidRDefault="002D49FF" w:rsidP="00D105BA">
            <w:pPr>
              <w:rPr>
                <w:sz w:val="22"/>
                <w:szCs w:val="22"/>
              </w:rPr>
            </w:pPr>
            <w:r w:rsidRPr="00420DD5">
              <w:rPr>
                <w:sz w:val="22"/>
                <w:szCs w:val="22"/>
              </w:rPr>
              <w:t>125</w:t>
            </w:r>
          </w:p>
        </w:tc>
        <w:tc>
          <w:tcPr>
            <w:tcW w:w="850" w:type="dxa"/>
          </w:tcPr>
          <w:p w14:paraId="53E3FED1" w14:textId="77777777" w:rsidR="002D49FF" w:rsidRPr="00420DD5" w:rsidRDefault="002D49FF" w:rsidP="00D105BA">
            <w:pPr>
              <w:rPr>
                <w:sz w:val="22"/>
                <w:szCs w:val="22"/>
              </w:rPr>
            </w:pPr>
            <w:r w:rsidRPr="00420DD5">
              <w:rPr>
                <w:sz w:val="22"/>
                <w:szCs w:val="22"/>
              </w:rPr>
              <w:t>7%</w:t>
            </w:r>
          </w:p>
        </w:tc>
        <w:tc>
          <w:tcPr>
            <w:tcW w:w="709" w:type="dxa"/>
          </w:tcPr>
          <w:p w14:paraId="6CB3731C" w14:textId="77777777" w:rsidR="002D49FF" w:rsidRPr="00420DD5" w:rsidRDefault="002D49FF" w:rsidP="00D105BA">
            <w:pPr>
              <w:rPr>
                <w:sz w:val="22"/>
                <w:szCs w:val="22"/>
              </w:rPr>
            </w:pPr>
            <w:r w:rsidRPr="00420DD5">
              <w:rPr>
                <w:sz w:val="22"/>
                <w:szCs w:val="22"/>
              </w:rPr>
              <w:t>125</w:t>
            </w:r>
          </w:p>
        </w:tc>
        <w:tc>
          <w:tcPr>
            <w:tcW w:w="850" w:type="dxa"/>
          </w:tcPr>
          <w:p w14:paraId="3B53FB8C" w14:textId="77777777" w:rsidR="002D49FF" w:rsidRPr="00420DD5" w:rsidRDefault="002D49FF" w:rsidP="00D105BA">
            <w:pPr>
              <w:rPr>
                <w:sz w:val="22"/>
                <w:szCs w:val="22"/>
              </w:rPr>
            </w:pPr>
            <w:r w:rsidRPr="00420DD5">
              <w:rPr>
                <w:sz w:val="22"/>
                <w:szCs w:val="22"/>
              </w:rPr>
              <w:t>6%</w:t>
            </w:r>
          </w:p>
        </w:tc>
      </w:tr>
      <w:tr w:rsidR="002D49FF" w:rsidRPr="00420DD5" w14:paraId="547B42C6" w14:textId="77777777" w:rsidTr="002D49FF">
        <w:tc>
          <w:tcPr>
            <w:tcW w:w="1985" w:type="dxa"/>
          </w:tcPr>
          <w:p w14:paraId="56793814" w14:textId="77777777" w:rsidR="002D49FF" w:rsidRPr="00420DD5" w:rsidRDefault="002D49FF" w:rsidP="00D105BA">
            <w:pPr>
              <w:rPr>
                <w:sz w:val="22"/>
                <w:szCs w:val="22"/>
              </w:rPr>
            </w:pPr>
            <w:r w:rsidRPr="00420DD5">
              <w:rPr>
                <w:sz w:val="22"/>
                <w:szCs w:val="22"/>
              </w:rPr>
              <w:t>State Funded Special Schools</w:t>
            </w:r>
          </w:p>
        </w:tc>
        <w:tc>
          <w:tcPr>
            <w:tcW w:w="709" w:type="dxa"/>
          </w:tcPr>
          <w:p w14:paraId="0369305C" w14:textId="77777777" w:rsidR="002D49FF" w:rsidRPr="00420DD5" w:rsidRDefault="002D49FF" w:rsidP="00D105BA">
            <w:pPr>
              <w:rPr>
                <w:sz w:val="22"/>
                <w:szCs w:val="22"/>
              </w:rPr>
            </w:pPr>
            <w:r w:rsidRPr="00420DD5">
              <w:rPr>
                <w:sz w:val="22"/>
                <w:szCs w:val="22"/>
              </w:rPr>
              <w:t>358</w:t>
            </w:r>
          </w:p>
        </w:tc>
        <w:tc>
          <w:tcPr>
            <w:tcW w:w="850" w:type="dxa"/>
          </w:tcPr>
          <w:p w14:paraId="7570EBC5" w14:textId="77777777" w:rsidR="002D49FF" w:rsidRPr="00420DD5" w:rsidRDefault="002D49FF" w:rsidP="00D105BA">
            <w:pPr>
              <w:rPr>
                <w:sz w:val="22"/>
                <w:szCs w:val="22"/>
              </w:rPr>
            </w:pPr>
            <w:r w:rsidRPr="00420DD5">
              <w:rPr>
                <w:sz w:val="22"/>
                <w:szCs w:val="22"/>
              </w:rPr>
              <w:t>33%</w:t>
            </w:r>
          </w:p>
        </w:tc>
        <w:tc>
          <w:tcPr>
            <w:tcW w:w="709" w:type="dxa"/>
          </w:tcPr>
          <w:p w14:paraId="0811E72C" w14:textId="77777777" w:rsidR="002D49FF" w:rsidRPr="00420DD5" w:rsidRDefault="002D49FF" w:rsidP="00D105BA">
            <w:pPr>
              <w:rPr>
                <w:sz w:val="22"/>
                <w:szCs w:val="22"/>
              </w:rPr>
            </w:pPr>
            <w:r w:rsidRPr="00420DD5">
              <w:rPr>
                <w:sz w:val="22"/>
                <w:szCs w:val="22"/>
              </w:rPr>
              <w:t>388</w:t>
            </w:r>
          </w:p>
        </w:tc>
        <w:tc>
          <w:tcPr>
            <w:tcW w:w="851" w:type="dxa"/>
          </w:tcPr>
          <w:p w14:paraId="31DE272D" w14:textId="77777777" w:rsidR="002D49FF" w:rsidRPr="00420DD5" w:rsidRDefault="002D49FF" w:rsidP="00D105BA">
            <w:pPr>
              <w:rPr>
                <w:sz w:val="22"/>
                <w:szCs w:val="22"/>
              </w:rPr>
            </w:pPr>
            <w:r w:rsidRPr="00420DD5">
              <w:rPr>
                <w:sz w:val="22"/>
                <w:szCs w:val="22"/>
              </w:rPr>
              <w:t>31%</w:t>
            </w:r>
          </w:p>
        </w:tc>
        <w:tc>
          <w:tcPr>
            <w:tcW w:w="708" w:type="dxa"/>
          </w:tcPr>
          <w:p w14:paraId="3291B8EC" w14:textId="77777777" w:rsidR="002D49FF" w:rsidRPr="00420DD5" w:rsidRDefault="002D49FF" w:rsidP="00D105BA">
            <w:pPr>
              <w:rPr>
                <w:sz w:val="22"/>
                <w:szCs w:val="22"/>
              </w:rPr>
            </w:pPr>
            <w:r w:rsidRPr="00420DD5">
              <w:rPr>
                <w:sz w:val="22"/>
                <w:szCs w:val="22"/>
              </w:rPr>
              <w:t>416</w:t>
            </w:r>
          </w:p>
        </w:tc>
        <w:tc>
          <w:tcPr>
            <w:tcW w:w="851" w:type="dxa"/>
          </w:tcPr>
          <w:p w14:paraId="1B700BD4" w14:textId="77777777" w:rsidR="002D49FF" w:rsidRPr="00420DD5" w:rsidRDefault="002D49FF" w:rsidP="00D105BA">
            <w:pPr>
              <w:rPr>
                <w:sz w:val="22"/>
                <w:szCs w:val="22"/>
              </w:rPr>
            </w:pPr>
            <w:r w:rsidRPr="00420DD5">
              <w:rPr>
                <w:sz w:val="22"/>
                <w:szCs w:val="22"/>
              </w:rPr>
              <w:t>27%</w:t>
            </w:r>
          </w:p>
        </w:tc>
        <w:tc>
          <w:tcPr>
            <w:tcW w:w="709" w:type="dxa"/>
          </w:tcPr>
          <w:p w14:paraId="3482928B" w14:textId="77777777" w:rsidR="002D49FF" w:rsidRPr="00420DD5" w:rsidRDefault="002D49FF" w:rsidP="00D105BA">
            <w:pPr>
              <w:rPr>
                <w:sz w:val="22"/>
                <w:szCs w:val="22"/>
              </w:rPr>
            </w:pPr>
            <w:r w:rsidRPr="00420DD5">
              <w:rPr>
                <w:sz w:val="22"/>
                <w:szCs w:val="22"/>
              </w:rPr>
              <w:t>440</w:t>
            </w:r>
          </w:p>
        </w:tc>
        <w:tc>
          <w:tcPr>
            <w:tcW w:w="850" w:type="dxa"/>
          </w:tcPr>
          <w:p w14:paraId="103C9FC3" w14:textId="77777777" w:rsidR="002D49FF" w:rsidRPr="00420DD5" w:rsidRDefault="002D49FF" w:rsidP="00D105BA">
            <w:pPr>
              <w:rPr>
                <w:sz w:val="22"/>
                <w:szCs w:val="22"/>
              </w:rPr>
            </w:pPr>
            <w:r w:rsidRPr="00420DD5">
              <w:rPr>
                <w:sz w:val="22"/>
                <w:szCs w:val="22"/>
              </w:rPr>
              <w:t>26%</w:t>
            </w:r>
          </w:p>
        </w:tc>
        <w:tc>
          <w:tcPr>
            <w:tcW w:w="709" w:type="dxa"/>
          </w:tcPr>
          <w:p w14:paraId="00C9B756" w14:textId="77777777" w:rsidR="002D49FF" w:rsidRPr="00420DD5" w:rsidRDefault="002D49FF" w:rsidP="00D105BA">
            <w:pPr>
              <w:rPr>
                <w:sz w:val="22"/>
                <w:szCs w:val="22"/>
              </w:rPr>
            </w:pPr>
            <w:r w:rsidRPr="00420DD5">
              <w:rPr>
                <w:sz w:val="22"/>
                <w:szCs w:val="22"/>
              </w:rPr>
              <w:t>474</w:t>
            </w:r>
          </w:p>
        </w:tc>
        <w:tc>
          <w:tcPr>
            <w:tcW w:w="850" w:type="dxa"/>
          </w:tcPr>
          <w:p w14:paraId="558B1A42" w14:textId="77777777" w:rsidR="002D49FF" w:rsidRPr="00420DD5" w:rsidRDefault="002D49FF" w:rsidP="00D105BA">
            <w:pPr>
              <w:rPr>
                <w:sz w:val="22"/>
                <w:szCs w:val="22"/>
              </w:rPr>
            </w:pPr>
            <w:r w:rsidRPr="00420DD5">
              <w:rPr>
                <w:sz w:val="22"/>
                <w:szCs w:val="22"/>
              </w:rPr>
              <w:t>25%</w:t>
            </w:r>
          </w:p>
        </w:tc>
      </w:tr>
      <w:tr w:rsidR="002D49FF" w:rsidRPr="00420DD5" w14:paraId="1CD0D5B1" w14:textId="77777777" w:rsidTr="002D49FF">
        <w:tc>
          <w:tcPr>
            <w:tcW w:w="1985" w:type="dxa"/>
          </w:tcPr>
          <w:p w14:paraId="17BD8158" w14:textId="77777777" w:rsidR="002D49FF" w:rsidRPr="00420DD5" w:rsidRDefault="002D49FF" w:rsidP="00D105BA">
            <w:pPr>
              <w:rPr>
                <w:sz w:val="22"/>
                <w:szCs w:val="22"/>
              </w:rPr>
            </w:pPr>
            <w:r w:rsidRPr="00420DD5">
              <w:rPr>
                <w:sz w:val="22"/>
                <w:szCs w:val="22"/>
              </w:rPr>
              <w:t>Independent Special Schools</w:t>
            </w:r>
          </w:p>
        </w:tc>
        <w:tc>
          <w:tcPr>
            <w:tcW w:w="709" w:type="dxa"/>
          </w:tcPr>
          <w:p w14:paraId="5C17D785" w14:textId="77777777" w:rsidR="002D49FF" w:rsidRPr="00420DD5" w:rsidRDefault="002D49FF" w:rsidP="00D105BA">
            <w:pPr>
              <w:rPr>
                <w:sz w:val="22"/>
                <w:szCs w:val="22"/>
              </w:rPr>
            </w:pPr>
            <w:r w:rsidRPr="00420DD5">
              <w:rPr>
                <w:sz w:val="22"/>
                <w:szCs w:val="22"/>
              </w:rPr>
              <w:t>132</w:t>
            </w:r>
          </w:p>
        </w:tc>
        <w:tc>
          <w:tcPr>
            <w:tcW w:w="850" w:type="dxa"/>
          </w:tcPr>
          <w:p w14:paraId="19B3FF42" w14:textId="77777777" w:rsidR="002D49FF" w:rsidRPr="00420DD5" w:rsidRDefault="002D49FF" w:rsidP="00D105BA">
            <w:pPr>
              <w:rPr>
                <w:sz w:val="22"/>
                <w:szCs w:val="22"/>
              </w:rPr>
            </w:pPr>
            <w:r w:rsidRPr="00420DD5">
              <w:rPr>
                <w:sz w:val="22"/>
                <w:szCs w:val="22"/>
              </w:rPr>
              <w:t>12%</w:t>
            </w:r>
          </w:p>
        </w:tc>
        <w:tc>
          <w:tcPr>
            <w:tcW w:w="709" w:type="dxa"/>
          </w:tcPr>
          <w:p w14:paraId="295436B5" w14:textId="77777777" w:rsidR="002D49FF" w:rsidRPr="00420DD5" w:rsidRDefault="002D49FF" w:rsidP="00D105BA">
            <w:pPr>
              <w:rPr>
                <w:sz w:val="22"/>
                <w:szCs w:val="22"/>
              </w:rPr>
            </w:pPr>
            <w:r w:rsidRPr="00420DD5">
              <w:rPr>
                <w:sz w:val="22"/>
                <w:szCs w:val="22"/>
              </w:rPr>
              <w:t>153</w:t>
            </w:r>
          </w:p>
        </w:tc>
        <w:tc>
          <w:tcPr>
            <w:tcW w:w="851" w:type="dxa"/>
          </w:tcPr>
          <w:p w14:paraId="1EC38C48" w14:textId="77777777" w:rsidR="002D49FF" w:rsidRPr="00420DD5" w:rsidRDefault="002D49FF" w:rsidP="00D105BA">
            <w:pPr>
              <w:rPr>
                <w:sz w:val="22"/>
                <w:szCs w:val="22"/>
              </w:rPr>
            </w:pPr>
            <w:r w:rsidRPr="00420DD5">
              <w:rPr>
                <w:sz w:val="22"/>
                <w:szCs w:val="22"/>
              </w:rPr>
              <w:t>12%</w:t>
            </w:r>
          </w:p>
        </w:tc>
        <w:tc>
          <w:tcPr>
            <w:tcW w:w="708" w:type="dxa"/>
          </w:tcPr>
          <w:p w14:paraId="4EE9676B" w14:textId="77777777" w:rsidR="002D49FF" w:rsidRPr="00420DD5" w:rsidRDefault="002D49FF" w:rsidP="00D105BA">
            <w:pPr>
              <w:rPr>
                <w:sz w:val="22"/>
                <w:szCs w:val="22"/>
              </w:rPr>
            </w:pPr>
            <w:r w:rsidRPr="00420DD5">
              <w:rPr>
                <w:sz w:val="22"/>
                <w:szCs w:val="22"/>
              </w:rPr>
              <w:t>176</w:t>
            </w:r>
          </w:p>
        </w:tc>
        <w:tc>
          <w:tcPr>
            <w:tcW w:w="851" w:type="dxa"/>
          </w:tcPr>
          <w:p w14:paraId="6B3155BA" w14:textId="77777777" w:rsidR="002D49FF" w:rsidRPr="00420DD5" w:rsidRDefault="002D49FF" w:rsidP="00D105BA">
            <w:pPr>
              <w:rPr>
                <w:sz w:val="22"/>
                <w:szCs w:val="22"/>
              </w:rPr>
            </w:pPr>
            <w:r w:rsidRPr="00420DD5">
              <w:rPr>
                <w:sz w:val="22"/>
                <w:szCs w:val="22"/>
              </w:rPr>
              <w:t>12%</w:t>
            </w:r>
          </w:p>
        </w:tc>
        <w:tc>
          <w:tcPr>
            <w:tcW w:w="709" w:type="dxa"/>
          </w:tcPr>
          <w:p w14:paraId="5EB2A2F3" w14:textId="77777777" w:rsidR="002D49FF" w:rsidRPr="00420DD5" w:rsidRDefault="002D49FF" w:rsidP="00D105BA">
            <w:pPr>
              <w:rPr>
                <w:sz w:val="22"/>
                <w:szCs w:val="22"/>
              </w:rPr>
            </w:pPr>
            <w:r w:rsidRPr="00420DD5">
              <w:rPr>
                <w:sz w:val="22"/>
                <w:szCs w:val="22"/>
              </w:rPr>
              <w:t>228</w:t>
            </w:r>
          </w:p>
        </w:tc>
        <w:tc>
          <w:tcPr>
            <w:tcW w:w="850" w:type="dxa"/>
          </w:tcPr>
          <w:p w14:paraId="06223127" w14:textId="77777777" w:rsidR="002D49FF" w:rsidRPr="00420DD5" w:rsidRDefault="002D49FF" w:rsidP="00D105BA">
            <w:pPr>
              <w:rPr>
                <w:sz w:val="22"/>
                <w:szCs w:val="22"/>
              </w:rPr>
            </w:pPr>
            <w:r w:rsidRPr="00420DD5">
              <w:rPr>
                <w:sz w:val="22"/>
                <w:szCs w:val="22"/>
              </w:rPr>
              <w:t>13%</w:t>
            </w:r>
          </w:p>
        </w:tc>
        <w:tc>
          <w:tcPr>
            <w:tcW w:w="709" w:type="dxa"/>
          </w:tcPr>
          <w:p w14:paraId="68C455B8" w14:textId="77777777" w:rsidR="002D49FF" w:rsidRPr="00420DD5" w:rsidRDefault="002D49FF" w:rsidP="00D105BA">
            <w:pPr>
              <w:rPr>
                <w:sz w:val="22"/>
                <w:szCs w:val="22"/>
              </w:rPr>
            </w:pPr>
            <w:r w:rsidRPr="00420DD5">
              <w:rPr>
                <w:sz w:val="22"/>
                <w:szCs w:val="22"/>
              </w:rPr>
              <w:t>280</w:t>
            </w:r>
          </w:p>
        </w:tc>
        <w:tc>
          <w:tcPr>
            <w:tcW w:w="850" w:type="dxa"/>
          </w:tcPr>
          <w:p w14:paraId="4F1968A8" w14:textId="77777777" w:rsidR="002D49FF" w:rsidRPr="00420DD5" w:rsidRDefault="002D49FF" w:rsidP="00D105BA">
            <w:pPr>
              <w:rPr>
                <w:sz w:val="22"/>
                <w:szCs w:val="22"/>
              </w:rPr>
            </w:pPr>
            <w:r w:rsidRPr="00420DD5">
              <w:rPr>
                <w:sz w:val="22"/>
                <w:szCs w:val="22"/>
              </w:rPr>
              <w:t>15%</w:t>
            </w:r>
          </w:p>
        </w:tc>
      </w:tr>
      <w:tr w:rsidR="002D49FF" w:rsidRPr="00420DD5" w14:paraId="4BF81CEA" w14:textId="77777777" w:rsidTr="002D49FF">
        <w:tc>
          <w:tcPr>
            <w:tcW w:w="1985" w:type="dxa"/>
          </w:tcPr>
          <w:p w14:paraId="12A2A6EB" w14:textId="77777777" w:rsidR="002D49FF" w:rsidRPr="00420DD5" w:rsidRDefault="002D49FF" w:rsidP="00D105BA">
            <w:pPr>
              <w:rPr>
                <w:sz w:val="22"/>
                <w:szCs w:val="22"/>
              </w:rPr>
            </w:pPr>
            <w:r w:rsidRPr="00420DD5">
              <w:rPr>
                <w:sz w:val="22"/>
                <w:szCs w:val="22"/>
              </w:rPr>
              <w:t>Post 16 College and traineeships</w:t>
            </w:r>
          </w:p>
        </w:tc>
        <w:tc>
          <w:tcPr>
            <w:tcW w:w="709" w:type="dxa"/>
          </w:tcPr>
          <w:p w14:paraId="04EA4105" w14:textId="77777777" w:rsidR="002D49FF" w:rsidRPr="00420DD5" w:rsidRDefault="002D49FF" w:rsidP="00D105BA">
            <w:pPr>
              <w:rPr>
                <w:sz w:val="22"/>
                <w:szCs w:val="22"/>
              </w:rPr>
            </w:pPr>
            <w:r w:rsidRPr="00420DD5">
              <w:rPr>
                <w:sz w:val="22"/>
                <w:szCs w:val="22"/>
              </w:rPr>
              <w:t>25</w:t>
            </w:r>
          </w:p>
        </w:tc>
        <w:tc>
          <w:tcPr>
            <w:tcW w:w="850" w:type="dxa"/>
          </w:tcPr>
          <w:p w14:paraId="29CD0069" w14:textId="77777777" w:rsidR="002D49FF" w:rsidRPr="00420DD5" w:rsidRDefault="002D49FF" w:rsidP="00D105BA">
            <w:pPr>
              <w:rPr>
                <w:sz w:val="22"/>
                <w:szCs w:val="22"/>
              </w:rPr>
            </w:pPr>
            <w:r w:rsidRPr="00420DD5">
              <w:rPr>
                <w:sz w:val="22"/>
                <w:szCs w:val="22"/>
              </w:rPr>
              <w:t>2%</w:t>
            </w:r>
          </w:p>
        </w:tc>
        <w:tc>
          <w:tcPr>
            <w:tcW w:w="709" w:type="dxa"/>
          </w:tcPr>
          <w:p w14:paraId="38957A56" w14:textId="77777777" w:rsidR="002D49FF" w:rsidRPr="00420DD5" w:rsidRDefault="002D49FF" w:rsidP="00D105BA">
            <w:pPr>
              <w:rPr>
                <w:sz w:val="22"/>
                <w:szCs w:val="22"/>
              </w:rPr>
            </w:pPr>
            <w:r w:rsidRPr="00420DD5">
              <w:rPr>
                <w:sz w:val="22"/>
                <w:szCs w:val="22"/>
              </w:rPr>
              <w:t>93</w:t>
            </w:r>
          </w:p>
        </w:tc>
        <w:tc>
          <w:tcPr>
            <w:tcW w:w="851" w:type="dxa"/>
          </w:tcPr>
          <w:p w14:paraId="598305F0" w14:textId="77777777" w:rsidR="002D49FF" w:rsidRPr="00420DD5" w:rsidRDefault="002D49FF" w:rsidP="00D105BA">
            <w:pPr>
              <w:rPr>
                <w:sz w:val="22"/>
                <w:szCs w:val="22"/>
              </w:rPr>
            </w:pPr>
            <w:r w:rsidRPr="00420DD5">
              <w:rPr>
                <w:sz w:val="22"/>
                <w:szCs w:val="22"/>
              </w:rPr>
              <w:t>7%</w:t>
            </w:r>
          </w:p>
        </w:tc>
        <w:tc>
          <w:tcPr>
            <w:tcW w:w="708" w:type="dxa"/>
          </w:tcPr>
          <w:p w14:paraId="1287BA15" w14:textId="77777777" w:rsidR="002D49FF" w:rsidRPr="00420DD5" w:rsidRDefault="002D49FF" w:rsidP="00D105BA">
            <w:pPr>
              <w:rPr>
                <w:sz w:val="22"/>
                <w:szCs w:val="22"/>
              </w:rPr>
            </w:pPr>
            <w:r w:rsidRPr="00420DD5">
              <w:rPr>
                <w:sz w:val="22"/>
                <w:szCs w:val="22"/>
              </w:rPr>
              <w:t>183</w:t>
            </w:r>
          </w:p>
        </w:tc>
        <w:tc>
          <w:tcPr>
            <w:tcW w:w="851" w:type="dxa"/>
          </w:tcPr>
          <w:p w14:paraId="7BFA6EB3" w14:textId="77777777" w:rsidR="002D49FF" w:rsidRPr="00420DD5" w:rsidRDefault="002D49FF" w:rsidP="00D105BA">
            <w:pPr>
              <w:rPr>
                <w:sz w:val="22"/>
                <w:szCs w:val="22"/>
              </w:rPr>
            </w:pPr>
            <w:r w:rsidRPr="00420DD5">
              <w:rPr>
                <w:sz w:val="22"/>
                <w:szCs w:val="22"/>
              </w:rPr>
              <w:t>12%</w:t>
            </w:r>
          </w:p>
        </w:tc>
        <w:tc>
          <w:tcPr>
            <w:tcW w:w="709" w:type="dxa"/>
          </w:tcPr>
          <w:p w14:paraId="5175B646" w14:textId="77777777" w:rsidR="002D49FF" w:rsidRPr="00420DD5" w:rsidRDefault="002D49FF" w:rsidP="00D105BA">
            <w:pPr>
              <w:rPr>
                <w:sz w:val="22"/>
                <w:szCs w:val="22"/>
              </w:rPr>
            </w:pPr>
            <w:r w:rsidRPr="00420DD5">
              <w:rPr>
                <w:sz w:val="22"/>
                <w:szCs w:val="22"/>
              </w:rPr>
              <w:t>212</w:t>
            </w:r>
          </w:p>
        </w:tc>
        <w:tc>
          <w:tcPr>
            <w:tcW w:w="850" w:type="dxa"/>
          </w:tcPr>
          <w:p w14:paraId="2BDE6EFA" w14:textId="77777777" w:rsidR="002D49FF" w:rsidRPr="00420DD5" w:rsidRDefault="002D49FF" w:rsidP="00D105BA">
            <w:pPr>
              <w:rPr>
                <w:sz w:val="22"/>
                <w:szCs w:val="22"/>
              </w:rPr>
            </w:pPr>
            <w:r w:rsidRPr="00420DD5">
              <w:rPr>
                <w:sz w:val="22"/>
                <w:szCs w:val="22"/>
              </w:rPr>
              <w:t>12%</w:t>
            </w:r>
          </w:p>
        </w:tc>
        <w:tc>
          <w:tcPr>
            <w:tcW w:w="709" w:type="dxa"/>
          </w:tcPr>
          <w:p w14:paraId="0F54349B" w14:textId="77777777" w:rsidR="002D49FF" w:rsidRPr="00420DD5" w:rsidRDefault="002D49FF" w:rsidP="00D105BA">
            <w:pPr>
              <w:rPr>
                <w:sz w:val="22"/>
                <w:szCs w:val="22"/>
              </w:rPr>
            </w:pPr>
            <w:r w:rsidRPr="00420DD5">
              <w:rPr>
                <w:sz w:val="22"/>
                <w:szCs w:val="22"/>
              </w:rPr>
              <w:t>199</w:t>
            </w:r>
          </w:p>
        </w:tc>
        <w:tc>
          <w:tcPr>
            <w:tcW w:w="850" w:type="dxa"/>
          </w:tcPr>
          <w:p w14:paraId="2C72D23C" w14:textId="77777777" w:rsidR="002D49FF" w:rsidRPr="00420DD5" w:rsidRDefault="002D49FF" w:rsidP="00D105BA">
            <w:pPr>
              <w:rPr>
                <w:sz w:val="22"/>
                <w:szCs w:val="22"/>
              </w:rPr>
            </w:pPr>
            <w:r w:rsidRPr="00420DD5">
              <w:rPr>
                <w:sz w:val="22"/>
                <w:szCs w:val="22"/>
              </w:rPr>
              <w:t>10%</w:t>
            </w:r>
          </w:p>
        </w:tc>
      </w:tr>
      <w:tr w:rsidR="002D49FF" w:rsidRPr="00420DD5" w14:paraId="5A525FC4" w14:textId="77777777" w:rsidTr="002D49FF">
        <w:tc>
          <w:tcPr>
            <w:tcW w:w="1985" w:type="dxa"/>
          </w:tcPr>
          <w:p w14:paraId="087A240A" w14:textId="77777777" w:rsidR="002D49FF" w:rsidRPr="00420DD5" w:rsidRDefault="002D49FF" w:rsidP="00D105BA">
            <w:pPr>
              <w:rPr>
                <w:sz w:val="22"/>
                <w:szCs w:val="22"/>
              </w:rPr>
            </w:pPr>
            <w:r w:rsidRPr="00420DD5">
              <w:rPr>
                <w:sz w:val="22"/>
                <w:szCs w:val="22"/>
              </w:rPr>
              <w:t>Post 16 Specialist</w:t>
            </w:r>
          </w:p>
        </w:tc>
        <w:tc>
          <w:tcPr>
            <w:tcW w:w="709" w:type="dxa"/>
          </w:tcPr>
          <w:p w14:paraId="50C53DBE" w14:textId="77777777" w:rsidR="002D49FF" w:rsidRPr="00420DD5" w:rsidRDefault="002D49FF" w:rsidP="00D105BA">
            <w:pPr>
              <w:rPr>
                <w:sz w:val="22"/>
                <w:szCs w:val="22"/>
              </w:rPr>
            </w:pPr>
            <w:r w:rsidRPr="00420DD5">
              <w:rPr>
                <w:sz w:val="22"/>
                <w:szCs w:val="22"/>
              </w:rPr>
              <w:t>10</w:t>
            </w:r>
          </w:p>
        </w:tc>
        <w:tc>
          <w:tcPr>
            <w:tcW w:w="850" w:type="dxa"/>
          </w:tcPr>
          <w:p w14:paraId="39DE7F03" w14:textId="77777777" w:rsidR="002D49FF" w:rsidRPr="00420DD5" w:rsidRDefault="002D49FF" w:rsidP="00D105BA">
            <w:pPr>
              <w:rPr>
                <w:sz w:val="22"/>
                <w:szCs w:val="22"/>
              </w:rPr>
            </w:pPr>
            <w:r w:rsidRPr="00420DD5">
              <w:rPr>
                <w:sz w:val="22"/>
                <w:szCs w:val="22"/>
              </w:rPr>
              <w:t>1%</w:t>
            </w:r>
          </w:p>
        </w:tc>
        <w:tc>
          <w:tcPr>
            <w:tcW w:w="709" w:type="dxa"/>
          </w:tcPr>
          <w:p w14:paraId="27BB5987" w14:textId="77777777" w:rsidR="002D49FF" w:rsidRPr="00420DD5" w:rsidRDefault="002D49FF" w:rsidP="00D105BA">
            <w:pPr>
              <w:rPr>
                <w:sz w:val="22"/>
                <w:szCs w:val="22"/>
              </w:rPr>
            </w:pPr>
            <w:r w:rsidRPr="00420DD5">
              <w:rPr>
                <w:sz w:val="22"/>
                <w:szCs w:val="22"/>
              </w:rPr>
              <w:t>25</w:t>
            </w:r>
          </w:p>
        </w:tc>
        <w:tc>
          <w:tcPr>
            <w:tcW w:w="851" w:type="dxa"/>
          </w:tcPr>
          <w:p w14:paraId="596655CD" w14:textId="77777777" w:rsidR="002D49FF" w:rsidRPr="00420DD5" w:rsidRDefault="002D49FF" w:rsidP="00D105BA">
            <w:pPr>
              <w:rPr>
                <w:sz w:val="22"/>
                <w:szCs w:val="22"/>
              </w:rPr>
            </w:pPr>
            <w:r w:rsidRPr="00420DD5">
              <w:rPr>
                <w:sz w:val="22"/>
                <w:szCs w:val="22"/>
              </w:rPr>
              <w:t>2%</w:t>
            </w:r>
          </w:p>
        </w:tc>
        <w:tc>
          <w:tcPr>
            <w:tcW w:w="708" w:type="dxa"/>
          </w:tcPr>
          <w:p w14:paraId="45F6776F" w14:textId="77777777" w:rsidR="002D49FF" w:rsidRPr="00420DD5" w:rsidRDefault="002D49FF" w:rsidP="00D105BA">
            <w:pPr>
              <w:rPr>
                <w:sz w:val="22"/>
                <w:szCs w:val="22"/>
              </w:rPr>
            </w:pPr>
            <w:r w:rsidRPr="00420DD5">
              <w:rPr>
                <w:sz w:val="22"/>
                <w:szCs w:val="22"/>
              </w:rPr>
              <w:t>44</w:t>
            </w:r>
          </w:p>
        </w:tc>
        <w:tc>
          <w:tcPr>
            <w:tcW w:w="851" w:type="dxa"/>
          </w:tcPr>
          <w:p w14:paraId="1B50AEA0" w14:textId="77777777" w:rsidR="002D49FF" w:rsidRPr="00420DD5" w:rsidRDefault="002D49FF" w:rsidP="00D105BA">
            <w:pPr>
              <w:rPr>
                <w:sz w:val="22"/>
                <w:szCs w:val="22"/>
              </w:rPr>
            </w:pPr>
            <w:r w:rsidRPr="00420DD5">
              <w:rPr>
                <w:sz w:val="22"/>
                <w:szCs w:val="22"/>
              </w:rPr>
              <w:t>3%</w:t>
            </w:r>
          </w:p>
        </w:tc>
        <w:tc>
          <w:tcPr>
            <w:tcW w:w="709" w:type="dxa"/>
          </w:tcPr>
          <w:p w14:paraId="0147E6AD" w14:textId="77777777" w:rsidR="002D49FF" w:rsidRPr="00420DD5" w:rsidRDefault="002D49FF" w:rsidP="00D105BA">
            <w:pPr>
              <w:rPr>
                <w:sz w:val="22"/>
                <w:szCs w:val="22"/>
              </w:rPr>
            </w:pPr>
            <w:r w:rsidRPr="00420DD5">
              <w:rPr>
                <w:sz w:val="22"/>
                <w:szCs w:val="22"/>
              </w:rPr>
              <w:t>37</w:t>
            </w:r>
          </w:p>
        </w:tc>
        <w:tc>
          <w:tcPr>
            <w:tcW w:w="850" w:type="dxa"/>
          </w:tcPr>
          <w:p w14:paraId="3E693751" w14:textId="77777777" w:rsidR="002D49FF" w:rsidRPr="00420DD5" w:rsidRDefault="002D49FF" w:rsidP="00D105BA">
            <w:pPr>
              <w:rPr>
                <w:sz w:val="22"/>
                <w:szCs w:val="22"/>
              </w:rPr>
            </w:pPr>
            <w:r w:rsidRPr="00420DD5">
              <w:rPr>
                <w:sz w:val="22"/>
                <w:szCs w:val="22"/>
              </w:rPr>
              <w:t>2%</w:t>
            </w:r>
          </w:p>
        </w:tc>
        <w:tc>
          <w:tcPr>
            <w:tcW w:w="709" w:type="dxa"/>
          </w:tcPr>
          <w:p w14:paraId="657BE84E" w14:textId="77777777" w:rsidR="002D49FF" w:rsidRPr="00420DD5" w:rsidRDefault="002D49FF" w:rsidP="00D105BA">
            <w:pPr>
              <w:rPr>
                <w:sz w:val="22"/>
                <w:szCs w:val="22"/>
              </w:rPr>
            </w:pPr>
            <w:r w:rsidRPr="00420DD5">
              <w:rPr>
                <w:sz w:val="22"/>
                <w:szCs w:val="22"/>
              </w:rPr>
              <w:t>35</w:t>
            </w:r>
          </w:p>
        </w:tc>
        <w:tc>
          <w:tcPr>
            <w:tcW w:w="850" w:type="dxa"/>
          </w:tcPr>
          <w:p w14:paraId="5D8BE162" w14:textId="77777777" w:rsidR="002D49FF" w:rsidRPr="00420DD5" w:rsidRDefault="002D49FF" w:rsidP="00D105BA">
            <w:pPr>
              <w:rPr>
                <w:sz w:val="22"/>
                <w:szCs w:val="22"/>
              </w:rPr>
            </w:pPr>
            <w:r w:rsidRPr="00420DD5">
              <w:rPr>
                <w:sz w:val="22"/>
                <w:szCs w:val="22"/>
              </w:rPr>
              <w:t>2%</w:t>
            </w:r>
          </w:p>
        </w:tc>
      </w:tr>
      <w:tr w:rsidR="002D49FF" w:rsidRPr="00420DD5" w14:paraId="39AF4ED6" w14:textId="77777777" w:rsidTr="002D49FF">
        <w:tc>
          <w:tcPr>
            <w:tcW w:w="1985" w:type="dxa"/>
          </w:tcPr>
          <w:p w14:paraId="2530C303" w14:textId="77777777" w:rsidR="002D49FF" w:rsidRPr="00420DD5" w:rsidRDefault="002D49FF" w:rsidP="00D105BA">
            <w:pPr>
              <w:rPr>
                <w:sz w:val="22"/>
                <w:szCs w:val="22"/>
              </w:rPr>
            </w:pPr>
            <w:r w:rsidRPr="00420DD5">
              <w:rPr>
                <w:sz w:val="22"/>
                <w:szCs w:val="22"/>
              </w:rPr>
              <w:t>Alternative Education (incl. EOTAS, Hospital Schools and EHE)</w:t>
            </w:r>
          </w:p>
        </w:tc>
        <w:tc>
          <w:tcPr>
            <w:tcW w:w="709" w:type="dxa"/>
          </w:tcPr>
          <w:p w14:paraId="5AB617A4" w14:textId="77777777" w:rsidR="002D49FF" w:rsidRPr="00420DD5" w:rsidRDefault="002D49FF" w:rsidP="00D105BA">
            <w:pPr>
              <w:rPr>
                <w:sz w:val="22"/>
                <w:szCs w:val="22"/>
              </w:rPr>
            </w:pPr>
            <w:r w:rsidRPr="00420DD5">
              <w:rPr>
                <w:sz w:val="22"/>
                <w:szCs w:val="22"/>
              </w:rPr>
              <w:t>15</w:t>
            </w:r>
          </w:p>
        </w:tc>
        <w:tc>
          <w:tcPr>
            <w:tcW w:w="850" w:type="dxa"/>
          </w:tcPr>
          <w:p w14:paraId="16B5C858" w14:textId="77777777" w:rsidR="002D49FF" w:rsidRPr="00420DD5" w:rsidRDefault="002D49FF" w:rsidP="00D105BA">
            <w:pPr>
              <w:rPr>
                <w:sz w:val="22"/>
                <w:szCs w:val="22"/>
              </w:rPr>
            </w:pPr>
            <w:r w:rsidRPr="00420DD5">
              <w:rPr>
                <w:sz w:val="22"/>
                <w:szCs w:val="22"/>
              </w:rPr>
              <w:t>1%</w:t>
            </w:r>
          </w:p>
        </w:tc>
        <w:tc>
          <w:tcPr>
            <w:tcW w:w="709" w:type="dxa"/>
          </w:tcPr>
          <w:p w14:paraId="56D3A2AC" w14:textId="77777777" w:rsidR="002D49FF" w:rsidRPr="00420DD5" w:rsidRDefault="002D49FF" w:rsidP="00D105BA">
            <w:pPr>
              <w:rPr>
                <w:sz w:val="22"/>
                <w:szCs w:val="22"/>
              </w:rPr>
            </w:pPr>
            <w:r w:rsidRPr="00420DD5">
              <w:rPr>
                <w:sz w:val="22"/>
                <w:szCs w:val="22"/>
              </w:rPr>
              <w:t>10</w:t>
            </w:r>
          </w:p>
        </w:tc>
        <w:tc>
          <w:tcPr>
            <w:tcW w:w="851" w:type="dxa"/>
          </w:tcPr>
          <w:p w14:paraId="10147E00" w14:textId="77777777" w:rsidR="002D49FF" w:rsidRPr="00420DD5" w:rsidRDefault="002D49FF" w:rsidP="00D105BA">
            <w:pPr>
              <w:rPr>
                <w:sz w:val="22"/>
                <w:szCs w:val="22"/>
              </w:rPr>
            </w:pPr>
            <w:r w:rsidRPr="00420DD5">
              <w:rPr>
                <w:sz w:val="22"/>
                <w:szCs w:val="22"/>
              </w:rPr>
              <w:t>1%</w:t>
            </w:r>
          </w:p>
        </w:tc>
        <w:tc>
          <w:tcPr>
            <w:tcW w:w="708" w:type="dxa"/>
          </w:tcPr>
          <w:p w14:paraId="7D326D7C" w14:textId="77777777" w:rsidR="002D49FF" w:rsidRPr="00420DD5" w:rsidRDefault="002D49FF" w:rsidP="00D105BA">
            <w:pPr>
              <w:rPr>
                <w:sz w:val="22"/>
                <w:szCs w:val="22"/>
              </w:rPr>
            </w:pPr>
            <w:r w:rsidRPr="00420DD5">
              <w:rPr>
                <w:sz w:val="22"/>
                <w:szCs w:val="22"/>
              </w:rPr>
              <w:t>22</w:t>
            </w:r>
          </w:p>
        </w:tc>
        <w:tc>
          <w:tcPr>
            <w:tcW w:w="851" w:type="dxa"/>
          </w:tcPr>
          <w:p w14:paraId="129F23B0" w14:textId="77777777" w:rsidR="002D49FF" w:rsidRPr="00420DD5" w:rsidRDefault="002D49FF" w:rsidP="00D105BA">
            <w:pPr>
              <w:rPr>
                <w:sz w:val="22"/>
                <w:szCs w:val="22"/>
              </w:rPr>
            </w:pPr>
            <w:r w:rsidRPr="00420DD5">
              <w:rPr>
                <w:sz w:val="22"/>
                <w:szCs w:val="22"/>
              </w:rPr>
              <w:t>1%</w:t>
            </w:r>
          </w:p>
        </w:tc>
        <w:tc>
          <w:tcPr>
            <w:tcW w:w="709" w:type="dxa"/>
          </w:tcPr>
          <w:p w14:paraId="7E28D14E" w14:textId="77777777" w:rsidR="002D49FF" w:rsidRPr="00420DD5" w:rsidRDefault="002D49FF" w:rsidP="00D105BA">
            <w:pPr>
              <w:rPr>
                <w:sz w:val="22"/>
                <w:szCs w:val="22"/>
              </w:rPr>
            </w:pPr>
            <w:r w:rsidRPr="00420DD5">
              <w:rPr>
                <w:sz w:val="22"/>
                <w:szCs w:val="22"/>
              </w:rPr>
              <w:t>28</w:t>
            </w:r>
          </w:p>
        </w:tc>
        <w:tc>
          <w:tcPr>
            <w:tcW w:w="850" w:type="dxa"/>
          </w:tcPr>
          <w:p w14:paraId="7EF28A47" w14:textId="77777777" w:rsidR="002D49FF" w:rsidRPr="00420DD5" w:rsidRDefault="002D49FF" w:rsidP="00D105BA">
            <w:pPr>
              <w:rPr>
                <w:sz w:val="22"/>
                <w:szCs w:val="22"/>
              </w:rPr>
            </w:pPr>
            <w:r w:rsidRPr="00420DD5">
              <w:rPr>
                <w:sz w:val="22"/>
                <w:szCs w:val="22"/>
              </w:rPr>
              <w:t>2%</w:t>
            </w:r>
          </w:p>
        </w:tc>
        <w:tc>
          <w:tcPr>
            <w:tcW w:w="709" w:type="dxa"/>
          </w:tcPr>
          <w:p w14:paraId="39AFCA31" w14:textId="77777777" w:rsidR="002D49FF" w:rsidRPr="00420DD5" w:rsidRDefault="002D49FF" w:rsidP="00D105BA">
            <w:pPr>
              <w:rPr>
                <w:sz w:val="22"/>
                <w:szCs w:val="22"/>
              </w:rPr>
            </w:pPr>
            <w:r w:rsidRPr="00420DD5">
              <w:rPr>
                <w:sz w:val="22"/>
                <w:szCs w:val="22"/>
              </w:rPr>
              <w:t>61</w:t>
            </w:r>
          </w:p>
        </w:tc>
        <w:tc>
          <w:tcPr>
            <w:tcW w:w="850" w:type="dxa"/>
          </w:tcPr>
          <w:p w14:paraId="27EC9225" w14:textId="77777777" w:rsidR="002D49FF" w:rsidRPr="00420DD5" w:rsidRDefault="002D49FF" w:rsidP="00D105BA">
            <w:pPr>
              <w:rPr>
                <w:sz w:val="22"/>
                <w:szCs w:val="22"/>
              </w:rPr>
            </w:pPr>
            <w:r w:rsidRPr="00420DD5">
              <w:rPr>
                <w:sz w:val="22"/>
                <w:szCs w:val="22"/>
              </w:rPr>
              <w:t>3%</w:t>
            </w:r>
          </w:p>
        </w:tc>
      </w:tr>
      <w:tr w:rsidR="002D49FF" w:rsidRPr="00420DD5" w14:paraId="3A87D364" w14:textId="77777777" w:rsidTr="002D49FF">
        <w:tc>
          <w:tcPr>
            <w:tcW w:w="1985" w:type="dxa"/>
          </w:tcPr>
          <w:p w14:paraId="157046D4" w14:textId="77777777" w:rsidR="002D49FF" w:rsidRPr="00420DD5" w:rsidRDefault="002D49FF" w:rsidP="00D105BA">
            <w:pPr>
              <w:rPr>
                <w:sz w:val="22"/>
                <w:szCs w:val="22"/>
              </w:rPr>
            </w:pPr>
            <w:r w:rsidRPr="00420DD5">
              <w:rPr>
                <w:sz w:val="22"/>
                <w:szCs w:val="22"/>
              </w:rPr>
              <w:t>No placement (including NEET)</w:t>
            </w:r>
          </w:p>
        </w:tc>
        <w:tc>
          <w:tcPr>
            <w:tcW w:w="709" w:type="dxa"/>
          </w:tcPr>
          <w:p w14:paraId="0F59F9C0" w14:textId="77777777" w:rsidR="002D49FF" w:rsidRPr="00420DD5" w:rsidRDefault="002D49FF" w:rsidP="00D105BA">
            <w:pPr>
              <w:rPr>
                <w:sz w:val="22"/>
                <w:szCs w:val="22"/>
              </w:rPr>
            </w:pPr>
            <w:r w:rsidRPr="00420DD5">
              <w:rPr>
                <w:sz w:val="22"/>
                <w:szCs w:val="22"/>
              </w:rPr>
              <w:t>3</w:t>
            </w:r>
          </w:p>
        </w:tc>
        <w:tc>
          <w:tcPr>
            <w:tcW w:w="850" w:type="dxa"/>
          </w:tcPr>
          <w:p w14:paraId="09CF0036" w14:textId="77777777" w:rsidR="002D49FF" w:rsidRPr="00420DD5" w:rsidRDefault="002D49FF" w:rsidP="00D105BA">
            <w:pPr>
              <w:rPr>
                <w:sz w:val="22"/>
                <w:szCs w:val="22"/>
              </w:rPr>
            </w:pPr>
            <w:r w:rsidRPr="00420DD5">
              <w:rPr>
                <w:sz w:val="22"/>
                <w:szCs w:val="22"/>
              </w:rPr>
              <w:t>0%</w:t>
            </w:r>
          </w:p>
        </w:tc>
        <w:tc>
          <w:tcPr>
            <w:tcW w:w="709" w:type="dxa"/>
          </w:tcPr>
          <w:p w14:paraId="6547D9B4" w14:textId="77777777" w:rsidR="002D49FF" w:rsidRPr="00420DD5" w:rsidRDefault="002D49FF" w:rsidP="00D105BA">
            <w:pPr>
              <w:rPr>
                <w:sz w:val="22"/>
                <w:szCs w:val="22"/>
              </w:rPr>
            </w:pPr>
            <w:r w:rsidRPr="00420DD5">
              <w:rPr>
                <w:sz w:val="22"/>
                <w:szCs w:val="22"/>
              </w:rPr>
              <w:t>0</w:t>
            </w:r>
          </w:p>
        </w:tc>
        <w:tc>
          <w:tcPr>
            <w:tcW w:w="851" w:type="dxa"/>
          </w:tcPr>
          <w:p w14:paraId="1077B02D" w14:textId="77777777" w:rsidR="002D49FF" w:rsidRPr="00420DD5" w:rsidRDefault="002D49FF" w:rsidP="00D105BA">
            <w:pPr>
              <w:rPr>
                <w:sz w:val="22"/>
                <w:szCs w:val="22"/>
              </w:rPr>
            </w:pPr>
            <w:r w:rsidRPr="00420DD5">
              <w:rPr>
                <w:sz w:val="22"/>
                <w:szCs w:val="22"/>
              </w:rPr>
              <w:t>0%</w:t>
            </w:r>
          </w:p>
        </w:tc>
        <w:tc>
          <w:tcPr>
            <w:tcW w:w="708" w:type="dxa"/>
          </w:tcPr>
          <w:p w14:paraId="5AAE6365" w14:textId="77777777" w:rsidR="002D49FF" w:rsidRPr="00420DD5" w:rsidRDefault="002D49FF" w:rsidP="00D105BA">
            <w:pPr>
              <w:rPr>
                <w:sz w:val="22"/>
                <w:szCs w:val="22"/>
              </w:rPr>
            </w:pPr>
            <w:r w:rsidRPr="00420DD5">
              <w:rPr>
                <w:sz w:val="22"/>
                <w:szCs w:val="22"/>
              </w:rPr>
              <w:t>28</w:t>
            </w:r>
          </w:p>
        </w:tc>
        <w:tc>
          <w:tcPr>
            <w:tcW w:w="851" w:type="dxa"/>
          </w:tcPr>
          <w:p w14:paraId="6F280A9B" w14:textId="77777777" w:rsidR="002D49FF" w:rsidRPr="00420DD5" w:rsidRDefault="002D49FF" w:rsidP="00D105BA">
            <w:pPr>
              <w:rPr>
                <w:sz w:val="22"/>
                <w:szCs w:val="22"/>
              </w:rPr>
            </w:pPr>
            <w:r w:rsidRPr="00420DD5">
              <w:rPr>
                <w:sz w:val="22"/>
                <w:szCs w:val="22"/>
              </w:rPr>
              <w:t>2%</w:t>
            </w:r>
          </w:p>
        </w:tc>
        <w:tc>
          <w:tcPr>
            <w:tcW w:w="709" w:type="dxa"/>
          </w:tcPr>
          <w:p w14:paraId="6E2BD23E" w14:textId="77777777" w:rsidR="002D49FF" w:rsidRPr="00420DD5" w:rsidRDefault="002D49FF" w:rsidP="00D105BA">
            <w:pPr>
              <w:rPr>
                <w:sz w:val="22"/>
                <w:szCs w:val="22"/>
              </w:rPr>
            </w:pPr>
            <w:r w:rsidRPr="00420DD5">
              <w:rPr>
                <w:sz w:val="22"/>
                <w:szCs w:val="22"/>
              </w:rPr>
              <w:t>51</w:t>
            </w:r>
          </w:p>
        </w:tc>
        <w:tc>
          <w:tcPr>
            <w:tcW w:w="850" w:type="dxa"/>
          </w:tcPr>
          <w:p w14:paraId="222D9122" w14:textId="77777777" w:rsidR="002D49FF" w:rsidRPr="00420DD5" w:rsidRDefault="002D49FF" w:rsidP="00D105BA">
            <w:pPr>
              <w:rPr>
                <w:sz w:val="22"/>
                <w:szCs w:val="22"/>
              </w:rPr>
            </w:pPr>
            <w:r w:rsidRPr="00420DD5">
              <w:rPr>
                <w:sz w:val="22"/>
                <w:szCs w:val="22"/>
              </w:rPr>
              <w:t>3%</w:t>
            </w:r>
          </w:p>
        </w:tc>
        <w:tc>
          <w:tcPr>
            <w:tcW w:w="709" w:type="dxa"/>
          </w:tcPr>
          <w:p w14:paraId="49257B86" w14:textId="77777777" w:rsidR="002D49FF" w:rsidRPr="00420DD5" w:rsidRDefault="002D49FF" w:rsidP="00D105BA">
            <w:pPr>
              <w:rPr>
                <w:sz w:val="22"/>
                <w:szCs w:val="22"/>
              </w:rPr>
            </w:pPr>
            <w:r w:rsidRPr="00420DD5">
              <w:rPr>
                <w:sz w:val="22"/>
                <w:szCs w:val="22"/>
              </w:rPr>
              <w:t>40</w:t>
            </w:r>
          </w:p>
        </w:tc>
        <w:tc>
          <w:tcPr>
            <w:tcW w:w="850" w:type="dxa"/>
          </w:tcPr>
          <w:p w14:paraId="3E00AA08" w14:textId="77777777" w:rsidR="002D49FF" w:rsidRPr="00420DD5" w:rsidRDefault="002D49FF" w:rsidP="00D105BA">
            <w:pPr>
              <w:rPr>
                <w:sz w:val="22"/>
                <w:szCs w:val="22"/>
              </w:rPr>
            </w:pPr>
            <w:r w:rsidRPr="00420DD5">
              <w:rPr>
                <w:sz w:val="22"/>
                <w:szCs w:val="22"/>
              </w:rPr>
              <w:t>2%</w:t>
            </w:r>
          </w:p>
        </w:tc>
      </w:tr>
      <w:tr w:rsidR="002D49FF" w:rsidRPr="00420DD5" w14:paraId="2B069C80" w14:textId="77777777" w:rsidTr="002D49FF">
        <w:trPr>
          <w:trHeight w:val="455"/>
        </w:trPr>
        <w:tc>
          <w:tcPr>
            <w:tcW w:w="1985" w:type="dxa"/>
            <w:shd w:val="clear" w:color="auto" w:fill="0066FF"/>
          </w:tcPr>
          <w:p w14:paraId="07C57F0B" w14:textId="77777777" w:rsidR="002D49FF" w:rsidRPr="00420DD5" w:rsidRDefault="002D49FF" w:rsidP="00D105BA">
            <w:pPr>
              <w:rPr>
                <w:b/>
                <w:sz w:val="22"/>
                <w:szCs w:val="22"/>
              </w:rPr>
            </w:pPr>
            <w:r w:rsidRPr="00420DD5">
              <w:rPr>
                <w:b/>
                <w:sz w:val="22"/>
                <w:szCs w:val="22"/>
              </w:rPr>
              <w:t>Total</w:t>
            </w:r>
          </w:p>
        </w:tc>
        <w:tc>
          <w:tcPr>
            <w:tcW w:w="709" w:type="dxa"/>
            <w:shd w:val="clear" w:color="auto" w:fill="0066FF"/>
          </w:tcPr>
          <w:p w14:paraId="3EA7890F" w14:textId="77777777" w:rsidR="002D49FF" w:rsidRPr="00420DD5" w:rsidRDefault="002D49FF" w:rsidP="00D105BA">
            <w:pPr>
              <w:rPr>
                <w:b/>
                <w:sz w:val="22"/>
                <w:szCs w:val="22"/>
              </w:rPr>
            </w:pPr>
            <w:r w:rsidRPr="00420DD5">
              <w:rPr>
                <w:b/>
                <w:sz w:val="22"/>
                <w:szCs w:val="22"/>
              </w:rPr>
              <w:t>1075</w:t>
            </w:r>
          </w:p>
        </w:tc>
        <w:tc>
          <w:tcPr>
            <w:tcW w:w="850" w:type="dxa"/>
            <w:shd w:val="clear" w:color="auto" w:fill="0066FF"/>
          </w:tcPr>
          <w:p w14:paraId="3C41E9E7" w14:textId="77777777" w:rsidR="002D49FF" w:rsidRPr="00420DD5" w:rsidRDefault="002D49FF" w:rsidP="00D105BA">
            <w:pPr>
              <w:rPr>
                <w:b/>
                <w:sz w:val="22"/>
                <w:szCs w:val="22"/>
              </w:rPr>
            </w:pPr>
            <w:r w:rsidRPr="00420DD5">
              <w:rPr>
                <w:b/>
                <w:sz w:val="22"/>
                <w:szCs w:val="22"/>
              </w:rPr>
              <w:t>100%</w:t>
            </w:r>
          </w:p>
        </w:tc>
        <w:tc>
          <w:tcPr>
            <w:tcW w:w="709" w:type="dxa"/>
            <w:shd w:val="clear" w:color="auto" w:fill="0066FF"/>
          </w:tcPr>
          <w:p w14:paraId="47B71A82" w14:textId="77777777" w:rsidR="002D49FF" w:rsidRPr="00420DD5" w:rsidRDefault="002D49FF" w:rsidP="00D105BA">
            <w:pPr>
              <w:rPr>
                <w:b/>
                <w:sz w:val="22"/>
                <w:szCs w:val="22"/>
              </w:rPr>
            </w:pPr>
            <w:r w:rsidRPr="00420DD5">
              <w:rPr>
                <w:b/>
                <w:sz w:val="22"/>
                <w:szCs w:val="22"/>
              </w:rPr>
              <w:t>1242</w:t>
            </w:r>
          </w:p>
        </w:tc>
        <w:tc>
          <w:tcPr>
            <w:tcW w:w="851" w:type="dxa"/>
            <w:shd w:val="clear" w:color="auto" w:fill="0066FF"/>
          </w:tcPr>
          <w:p w14:paraId="5680D407" w14:textId="77777777" w:rsidR="002D49FF" w:rsidRPr="00420DD5" w:rsidRDefault="002D49FF" w:rsidP="00D105BA">
            <w:pPr>
              <w:rPr>
                <w:b/>
                <w:sz w:val="22"/>
                <w:szCs w:val="22"/>
              </w:rPr>
            </w:pPr>
            <w:r w:rsidRPr="00420DD5">
              <w:rPr>
                <w:b/>
                <w:sz w:val="22"/>
                <w:szCs w:val="22"/>
              </w:rPr>
              <w:t>100%</w:t>
            </w:r>
          </w:p>
        </w:tc>
        <w:tc>
          <w:tcPr>
            <w:tcW w:w="708" w:type="dxa"/>
            <w:shd w:val="clear" w:color="auto" w:fill="0066FF"/>
          </w:tcPr>
          <w:p w14:paraId="2752F27A" w14:textId="77777777" w:rsidR="002D49FF" w:rsidRPr="00420DD5" w:rsidRDefault="002D49FF" w:rsidP="00D105BA">
            <w:pPr>
              <w:rPr>
                <w:b/>
                <w:sz w:val="22"/>
                <w:szCs w:val="22"/>
              </w:rPr>
            </w:pPr>
            <w:r w:rsidRPr="00420DD5">
              <w:rPr>
                <w:b/>
                <w:sz w:val="22"/>
                <w:szCs w:val="22"/>
              </w:rPr>
              <w:t>1518</w:t>
            </w:r>
          </w:p>
        </w:tc>
        <w:tc>
          <w:tcPr>
            <w:tcW w:w="851" w:type="dxa"/>
            <w:shd w:val="clear" w:color="auto" w:fill="0066FF"/>
          </w:tcPr>
          <w:p w14:paraId="342CF54F" w14:textId="77777777" w:rsidR="002D49FF" w:rsidRPr="00420DD5" w:rsidRDefault="002D49FF" w:rsidP="00D105BA">
            <w:pPr>
              <w:rPr>
                <w:b/>
                <w:sz w:val="22"/>
                <w:szCs w:val="22"/>
              </w:rPr>
            </w:pPr>
            <w:r w:rsidRPr="00420DD5">
              <w:rPr>
                <w:b/>
                <w:sz w:val="22"/>
                <w:szCs w:val="22"/>
              </w:rPr>
              <w:t>100%</w:t>
            </w:r>
          </w:p>
        </w:tc>
        <w:tc>
          <w:tcPr>
            <w:tcW w:w="709" w:type="dxa"/>
            <w:shd w:val="clear" w:color="auto" w:fill="0066FF"/>
          </w:tcPr>
          <w:p w14:paraId="3BCB9A03" w14:textId="77777777" w:rsidR="002D49FF" w:rsidRPr="00420DD5" w:rsidRDefault="002D49FF" w:rsidP="00D105BA">
            <w:pPr>
              <w:rPr>
                <w:b/>
                <w:sz w:val="22"/>
                <w:szCs w:val="22"/>
              </w:rPr>
            </w:pPr>
            <w:r w:rsidRPr="00420DD5">
              <w:rPr>
                <w:b/>
                <w:sz w:val="22"/>
                <w:szCs w:val="22"/>
              </w:rPr>
              <w:t>1712</w:t>
            </w:r>
          </w:p>
        </w:tc>
        <w:tc>
          <w:tcPr>
            <w:tcW w:w="850" w:type="dxa"/>
            <w:shd w:val="clear" w:color="auto" w:fill="0066FF"/>
          </w:tcPr>
          <w:p w14:paraId="0CE0356B" w14:textId="77777777" w:rsidR="002D49FF" w:rsidRPr="00420DD5" w:rsidRDefault="002D49FF" w:rsidP="00D105BA">
            <w:pPr>
              <w:rPr>
                <w:b/>
                <w:sz w:val="22"/>
                <w:szCs w:val="22"/>
              </w:rPr>
            </w:pPr>
            <w:r w:rsidRPr="00420DD5">
              <w:rPr>
                <w:b/>
                <w:sz w:val="22"/>
                <w:szCs w:val="22"/>
              </w:rPr>
              <w:t>100%</w:t>
            </w:r>
          </w:p>
        </w:tc>
        <w:tc>
          <w:tcPr>
            <w:tcW w:w="709" w:type="dxa"/>
            <w:shd w:val="clear" w:color="auto" w:fill="0066FF"/>
          </w:tcPr>
          <w:p w14:paraId="106DF28F" w14:textId="77777777" w:rsidR="002D49FF" w:rsidRPr="00420DD5" w:rsidRDefault="002D49FF" w:rsidP="00D105BA">
            <w:pPr>
              <w:rPr>
                <w:b/>
                <w:sz w:val="22"/>
                <w:szCs w:val="22"/>
              </w:rPr>
            </w:pPr>
            <w:r w:rsidRPr="00420DD5">
              <w:rPr>
                <w:b/>
                <w:sz w:val="22"/>
                <w:szCs w:val="22"/>
              </w:rPr>
              <w:t>1928</w:t>
            </w:r>
          </w:p>
        </w:tc>
        <w:tc>
          <w:tcPr>
            <w:tcW w:w="850" w:type="dxa"/>
            <w:shd w:val="clear" w:color="auto" w:fill="0066FF"/>
          </w:tcPr>
          <w:p w14:paraId="64FF23A0" w14:textId="77777777" w:rsidR="002D49FF" w:rsidRPr="00420DD5" w:rsidRDefault="002D49FF" w:rsidP="00D105BA">
            <w:pPr>
              <w:rPr>
                <w:b/>
                <w:sz w:val="22"/>
                <w:szCs w:val="22"/>
              </w:rPr>
            </w:pPr>
            <w:r w:rsidRPr="00420DD5">
              <w:rPr>
                <w:b/>
                <w:sz w:val="22"/>
                <w:szCs w:val="22"/>
              </w:rPr>
              <w:t>100%</w:t>
            </w:r>
          </w:p>
        </w:tc>
      </w:tr>
      <w:tr w:rsidR="002D49FF" w:rsidRPr="00420DD5" w14:paraId="2FE00214" w14:textId="77777777" w:rsidTr="002D49FF">
        <w:tc>
          <w:tcPr>
            <w:tcW w:w="1985" w:type="dxa"/>
          </w:tcPr>
          <w:p w14:paraId="37AE9924" w14:textId="77777777" w:rsidR="002D49FF" w:rsidRPr="00420DD5" w:rsidRDefault="002D49FF" w:rsidP="00D105BA">
            <w:pPr>
              <w:rPr>
                <w:sz w:val="22"/>
                <w:szCs w:val="22"/>
              </w:rPr>
            </w:pPr>
            <w:r w:rsidRPr="00420DD5">
              <w:rPr>
                <w:sz w:val="22"/>
                <w:szCs w:val="22"/>
              </w:rPr>
              <w:t>Change over previous year</w:t>
            </w:r>
          </w:p>
        </w:tc>
        <w:tc>
          <w:tcPr>
            <w:tcW w:w="709" w:type="dxa"/>
          </w:tcPr>
          <w:p w14:paraId="4035CE39" w14:textId="77777777" w:rsidR="002D49FF" w:rsidRPr="00420DD5" w:rsidRDefault="002D49FF" w:rsidP="00D105BA">
            <w:pPr>
              <w:rPr>
                <w:sz w:val="22"/>
                <w:szCs w:val="22"/>
              </w:rPr>
            </w:pPr>
          </w:p>
        </w:tc>
        <w:tc>
          <w:tcPr>
            <w:tcW w:w="850" w:type="dxa"/>
          </w:tcPr>
          <w:p w14:paraId="6B3539DF" w14:textId="77777777" w:rsidR="002D49FF" w:rsidRPr="00420DD5" w:rsidRDefault="002D49FF" w:rsidP="00D105BA">
            <w:pPr>
              <w:rPr>
                <w:sz w:val="22"/>
                <w:szCs w:val="22"/>
              </w:rPr>
            </w:pPr>
          </w:p>
        </w:tc>
        <w:tc>
          <w:tcPr>
            <w:tcW w:w="709" w:type="dxa"/>
          </w:tcPr>
          <w:p w14:paraId="73F9FFB1" w14:textId="77777777" w:rsidR="002D49FF" w:rsidRPr="00420DD5" w:rsidRDefault="002D49FF" w:rsidP="00D105BA">
            <w:pPr>
              <w:rPr>
                <w:sz w:val="22"/>
                <w:szCs w:val="22"/>
              </w:rPr>
            </w:pPr>
          </w:p>
        </w:tc>
        <w:tc>
          <w:tcPr>
            <w:tcW w:w="851" w:type="dxa"/>
          </w:tcPr>
          <w:p w14:paraId="58D327DA" w14:textId="77777777" w:rsidR="002D49FF" w:rsidRPr="00420DD5" w:rsidRDefault="002D49FF" w:rsidP="00D105BA">
            <w:pPr>
              <w:rPr>
                <w:sz w:val="22"/>
                <w:szCs w:val="22"/>
              </w:rPr>
            </w:pPr>
            <w:r w:rsidRPr="00420DD5">
              <w:rPr>
                <w:sz w:val="22"/>
                <w:szCs w:val="22"/>
              </w:rPr>
              <w:t>16%</w:t>
            </w:r>
          </w:p>
        </w:tc>
        <w:tc>
          <w:tcPr>
            <w:tcW w:w="708" w:type="dxa"/>
          </w:tcPr>
          <w:p w14:paraId="37ACCE75" w14:textId="77777777" w:rsidR="002D49FF" w:rsidRPr="00420DD5" w:rsidRDefault="002D49FF" w:rsidP="00D105BA">
            <w:pPr>
              <w:rPr>
                <w:sz w:val="22"/>
                <w:szCs w:val="22"/>
              </w:rPr>
            </w:pPr>
          </w:p>
        </w:tc>
        <w:tc>
          <w:tcPr>
            <w:tcW w:w="851" w:type="dxa"/>
          </w:tcPr>
          <w:p w14:paraId="7B79266F" w14:textId="77777777" w:rsidR="002D49FF" w:rsidRPr="00420DD5" w:rsidRDefault="002D49FF" w:rsidP="00D105BA">
            <w:pPr>
              <w:rPr>
                <w:sz w:val="22"/>
                <w:szCs w:val="22"/>
              </w:rPr>
            </w:pPr>
            <w:r w:rsidRPr="00420DD5">
              <w:rPr>
                <w:sz w:val="22"/>
                <w:szCs w:val="22"/>
              </w:rPr>
              <w:t>22%</w:t>
            </w:r>
          </w:p>
        </w:tc>
        <w:tc>
          <w:tcPr>
            <w:tcW w:w="709" w:type="dxa"/>
          </w:tcPr>
          <w:p w14:paraId="71C4588C" w14:textId="77777777" w:rsidR="002D49FF" w:rsidRPr="00420DD5" w:rsidRDefault="002D49FF" w:rsidP="00D105BA">
            <w:pPr>
              <w:rPr>
                <w:sz w:val="22"/>
                <w:szCs w:val="22"/>
              </w:rPr>
            </w:pPr>
          </w:p>
        </w:tc>
        <w:tc>
          <w:tcPr>
            <w:tcW w:w="850" w:type="dxa"/>
          </w:tcPr>
          <w:p w14:paraId="1485E62D" w14:textId="77777777" w:rsidR="002D49FF" w:rsidRPr="00420DD5" w:rsidRDefault="002D49FF" w:rsidP="00D105BA">
            <w:pPr>
              <w:rPr>
                <w:sz w:val="22"/>
                <w:szCs w:val="22"/>
              </w:rPr>
            </w:pPr>
            <w:r w:rsidRPr="00420DD5">
              <w:rPr>
                <w:sz w:val="22"/>
                <w:szCs w:val="22"/>
              </w:rPr>
              <w:t>13%</w:t>
            </w:r>
          </w:p>
        </w:tc>
        <w:tc>
          <w:tcPr>
            <w:tcW w:w="709" w:type="dxa"/>
          </w:tcPr>
          <w:p w14:paraId="6FDC14CD" w14:textId="77777777" w:rsidR="002D49FF" w:rsidRPr="00420DD5" w:rsidRDefault="002D49FF" w:rsidP="00D105BA">
            <w:pPr>
              <w:rPr>
                <w:sz w:val="22"/>
                <w:szCs w:val="22"/>
              </w:rPr>
            </w:pPr>
          </w:p>
        </w:tc>
        <w:tc>
          <w:tcPr>
            <w:tcW w:w="850" w:type="dxa"/>
          </w:tcPr>
          <w:p w14:paraId="6916EF1C" w14:textId="77777777" w:rsidR="002D49FF" w:rsidRPr="00420DD5" w:rsidRDefault="002D49FF" w:rsidP="00D105BA">
            <w:pPr>
              <w:rPr>
                <w:sz w:val="22"/>
                <w:szCs w:val="22"/>
              </w:rPr>
            </w:pPr>
            <w:r w:rsidRPr="00420DD5">
              <w:rPr>
                <w:sz w:val="22"/>
                <w:szCs w:val="22"/>
              </w:rPr>
              <w:t>11%</w:t>
            </w:r>
          </w:p>
        </w:tc>
      </w:tr>
    </w:tbl>
    <w:p w14:paraId="6E6741D4" w14:textId="365C5657" w:rsidR="00353C19" w:rsidRPr="00420DD5" w:rsidRDefault="00353C19" w:rsidP="00331168">
      <w:pPr>
        <w:rPr>
          <w:rFonts w:ascii="Arial" w:hAnsi="Arial"/>
          <w:szCs w:val="20"/>
        </w:rPr>
      </w:pPr>
    </w:p>
    <w:p w14:paraId="6E6741D5" w14:textId="77777777" w:rsidR="00353C19" w:rsidRPr="00420DD5" w:rsidRDefault="00353C19" w:rsidP="00CA1E66">
      <w:pPr>
        <w:jc w:val="both"/>
        <w:rPr>
          <w:rFonts w:ascii="Arial" w:hAnsi="Arial"/>
          <w:szCs w:val="20"/>
          <w:highlight w:val="yellow"/>
        </w:rPr>
      </w:pPr>
    </w:p>
    <w:p w14:paraId="6E6741D6" w14:textId="5433DB57" w:rsidR="006D4054" w:rsidRPr="00420DD5" w:rsidRDefault="003C33A0" w:rsidP="00CA1E66">
      <w:pPr>
        <w:numPr>
          <w:ilvl w:val="0"/>
          <w:numId w:val="8"/>
        </w:numPr>
        <w:tabs>
          <w:tab w:val="clear" w:pos="927"/>
          <w:tab w:val="num" w:pos="720"/>
        </w:tabs>
        <w:ind w:left="720" w:hanging="720"/>
        <w:jc w:val="both"/>
        <w:rPr>
          <w:rFonts w:ascii="Arial" w:hAnsi="Arial"/>
          <w:szCs w:val="20"/>
        </w:rPr>
      </w:pPr>
      <w:r w:rsidRPr="00420DD5">
        <w:rPr>
          <w:rFonts w:ascii="Arial" w:hAnsi="Arial"/>
          <w:szCs w:val="20"/>
        </w:rPr>
        <w:t xml:space="preserve">Merton has </w:t>
      </w:r>
      <w:r w:rsidR="00A90509" w:rsidRPr="00420DD5">
        <w:rPr>
          <w:rFonts w:ascii="Arial" w:hAnsi="Arial"/>
          <w:szCs w:val="20"/>
        </w:rPr>
        <w:t>moved £6</w:t>
      </w:r>
      <w:r w:rsidR="00420DD5" w:rsidRPr="00420DD5">
        <w:rPr>
          <w:rFonts w:ascii="Arial" w:hAnsi="Arial"/>
          <w:szCs w:val="20"/>
        </w:rPr>
        <w:t>0</w:t>
      </w:r>
      <w:r w:rsidRPr="00420DD5">
        <w:rPr>
          <w:rFonts w:ascii="Arial" w:hAnsi="Arial"/>
          <w:szCs w:val="20"/>
        </w:rPr>
        <w:t xml:space="preserve">0k from the schools block </w:t>
      </w:r>
      <w:r w:rsidR="002D49FF" w:rsidRPr="00420DD5">
        <w:rPr>
          <w:rFonts w:ascii="Arial" w:hAnsi="Arial"/>
          <w:szCs w:val="20"/>
        </w:rPr>
        <w:t>to the high needs block for 2020</w:t>
      </w:r>
      <w:r w:rsidR="00A90509" w:rsidRPr="00420DD5">
        <w:rPr>
          <w:rFonts w:ascii="Arial" w:hAnsi="Arial"/>
          <w:szCs w:val="20"/>
        </w:rPr>
        <w:t>/2</w:t>
      </w:r>
      <w:r w:rsidR="002D49FF" w:rsidRPr="00420DD5">
        <w:rPr>
          <w:rFonts w:ascii="Arial" w:hAnsi="Arial"/>
          <w:szCs w:val="20"/>
        </w:rPr>
        <w:t>1</w:t>
      </w:r>
      <w:r w:rsidRPr="00420DD5">
        <w:rPr>
          <w:rFonts w:ascii="Arial" w:hAnsi="Arial"/>
          <w:szCs w:val="20"/>
        </w:rPr>
        <w:t xml:space="preserve"> to provide support for thi</w:t>
      </w:r>
      <w:r w:rsidR="00A90509" w:rsidRPr="00420DD5">
        <w:rPr>
          <w:rFonts w:ascii="Arial" w:hAnsi="Arial"/>
          <w:szCs w:val="20"/>
        </w:rPr>
        <w:t>s increase. This represents 0.49</w:t>
      </w:r>
      <w:r w:rsidRPr="00420DD5">
        <w:rPr>
          <w:rFonts w:ascii="Arial" w:hAnsi="Arial"/>
          <w:szCs w:val="20"/>
        </w:rPr>
        <w:t>% of the maximum allowable 0.5% above which ESFA approval is required.</w:t>
      </w:r>
    </w:p>
    <w:p w14:paraId="6E6741D7" w14:textId="77777777" w:rsidR="00C1519A" w:rsidRPr="00420DD5" w:rsidRDefault="00C1519A" w:rsidP="00CA1E66">
      <w:pPr>
        <w:ind w:left="720"/>
        <w:jc w:val="both"/>
        <w:rPr>
          <w:rFonts w:ascii="Arial" w:hAnsi="Arial"/>
          <w:szCs w:val="20"/>
        </w:rPr>
      </w:pPr>
    </w:p>
    <w:p w14:paraId="6E6741D8" w14:textId="0708E327" w:rsidR="00845D6B" w:rsidRPr="00420DD5" w:rsidRDefault="00E3150F" w:rsidP="00CA1E66">
      <w:pPr>
        <w:numPr>
          <w:ilvl w:val="0"/>
          <w:numId w:val="8"/>
        </w:numPr>
        <w:tabs>
          <w:tab w:val="clear" w:pos="927"/>
          <w:tab w:val="num" w:pos="720"/>
        </w:tabs>
        <w:ind w:left="720" w:hanging="720"/>
        <w:jc w:val="both"/>
        <w:rPr>
          <w:rFonts w:ascii="Arial" w:hAnsi="Arial"/>
          <w:szCs w:val="20"/>
        </w:rPr>
      </w:pPr>
      <w:r w:rsidRPr="00420DD5">
        <w:rPr>
          <w:rFonts w:ascii="Arial" w:hAnsi="Arial"/>
          <w:szCs w:val="20"/>
        </w:rPr>
        <w:t>Merton has not requested</w:t>
      </w:r>
      <w:r w:rsidR="003C33A0" w:rsidRPr="00420DD5">
        <w:rPr>
          <w:rFonts w:ascii="Arial" w:hAnsi="Arial"/>
          <w:szCs w:val="20"/>
        </w:rPr>
        <w:t xml:space="preserve"> a higher amount to be transfer</w:t>
      </w:r>
      <w:r w:rsidR="00A90509" w:rsidRPr="00420DD5">
        <w:rPr>
          <w:rFonts w:ascii="Arial" w:hAnsi="Arial"/>
          <w:szCs w:val="20"/>
        </w:rPr>
        <w:t xml:space="preserve">red as </w:t>
      </w:r>
      <w:r w:rsidR="003C33A0" w:rsidRPr="00420DD5">
        <w:rPr>
          <w:rFonts w:ascii="Arial" w:hAnsi="Arial"/>
          <w:szCs w:val="20"/>
        </w:rPr>
        <w:t>schools are also struggling</w:t>
      </w:r>
      <w:r w:rsidRPr="00420DD5">
        <w:rPr>
          <w:rFonts w:ascii="Arial" w:hAnsi="Arial"/>
          <w:szCs w:val="20"/>
        </w:rPr>
        <w:t>. This</w:t>
      </w:r>
      <w:r w:rsidR="003C33A0" w:rsidRPr="00420DD5">
        <w:rPr>
          <w:rFonts w:ascii="Arial" w:hAnsi="Arial"/>
          <w:szCs w:val="20"/>
        </w:rPr>
        <w:t xml:space="preserve"> </w:t>
      </w:r>
      <w:r w:rsidR="00570446" w:rsidRPr="00420DD5">
        <w:rPr>
          <w:rFonts w:ascii="Arial" w:hAnsi="Arial"/>
          <w:szCs w:val="20"/>
        </w:rPr>
        <w:t>wa</w:t>
      </w:r>
      <w:r w:rsidR="003C33A0" w:rsidRPr="00420DD5">
        <w:rPr>
          <w:rFonts w:ascii="Arial" w:hAnsi="Arial"/>
          <w:szCs w:val="20"/>
        </w:rPr>
        <w:t xml:space="preserve">s evident in the </w:t>
      </w:r>
      <w:r w:rsidR="00A90509" w:rsidRPr="00420DD5">
        <w:rPr>
          <w:rFonts w:ascii="Arial" w:hAnsi="Arial"/>
          <w:szCs w:val="20"/>
        </w:rPr>
        <w:t>number of schools requesting to set deficit budgets</w:t>
      </w:r>
      <w:r w:rsidR="00420DD5" w:rsidRPr="00420DD5">
        <w:rPr>
          <w:rFonts w:ascii="Arial" w:hAnsi="Arial"/>
          <w:szCs w:val="20"/>
        </w:rPr>
        <w:t xml:space="preserve"> for 2020</w:t>
      </w:r>
      <w:r w:rsidR="00570446" w:rsidRPr="00420DD5">
        <w:rPr>
          <w:rFonts w:ascii="Arial" w:hAnsi="Arial"/>
          <w:szCs w:val="20"/>
        </w:rPr>
        <w:t>/</w:t>
      </w:r>
      <w:r w:rsidR="00420DD5" w:rsidRPr="00420DD5">
        <w:rPr>
          <w:rFonts w:ascii="Arial" w:hAnsi="Arial"/>
          <w:szCs w:val="20"/>
        </w:rPr>
        <w:t>21</w:t>
      </w:r>
      <w:r w:rsidR="00C1519A" w:rsidRPr="00420DD5">
        <w:rPr>
          <w:rFonts w:ascii="Arial" w:hAnsi="Arial"/>
          <w:szCs w:val="20"/>
        </w:rPr>
        <w:t>.</w:t>
      </w:r>
    </w:p>
    <w:p w14:paraId="6E6741D9" w14:textId="77777777" w:rsidR="003C33A0" w:rsidRPr="00420DD5" w:rsidRDefault="003C33A0" w:rsidP="00CA1E66">
      <w:pPr>
        <w:pStyle w:val="ListParagraph"/>
        <w:jc w:val="both"/>
        <w:rPr>
          <w:rFonts w:ascii="Arial" w:hAnsi="Arial"/>
          <w:szCs w:val="20"/>
        </w:rPr>
      </w:pPr>
    </w:p>
    <w:p w14:paraId="6E6741DA" w14:textId="6D231AEB" w:rsidR="003C33A0" w:rsidRPr="00420DD5" w:rsidRDefault="00420DD5" w:rsidP="00CA1E66">
      <w:pPr>
        <w:numPr>
          <w:ilvl w:val="0"/>
          <w:numId w:val="8"/>
        </w:numPr>
        <w:tabs>
          <w:tab w:val="clear" w:pos="927"/>
          <w:tab w:val="num" w:pos="720"/>
        </w:tabs>
        <w:ind w:left="720" w:hanging="720"/>
        <w:jc w:val="both"/>
        <w:rPr>
          <w:rFonts w:ascii="Arial" w:hAnsi="Arial"/>
          <w:szCs w:val="20"/>
        </w:rPr>
      </w:pPr>
      <w:r w:rsidRPr="00420DD5">
        <w:rPr>
          <w:rFonts w:ascii="Arial" w:hAnsi="Arial"/>
          <w:szCs w:val="20"/>
        </w:rPr>
        <w:t>T</w:t>
      </w:r>
      <w:r w:rsidR="00A90509" w:rsidRPr="00420DD5">
        <w:rPr>
          <w:rFonts w:ascii="Arial" w:hAnsi="Arial"/>
          <w:szCs w:val="20"/>
        </w:rPr>
        <w:t>he current year deficit</w:t>
      </w:r>
      <w:r w:rsidR="004E2A4A" w:rsidRPr="00420DD5">
        <w:rPr>
          <w:rFonts w:ascii="Arial" w:hAnsi="Arial"/>
          <w:szCs w:val="20"/>
        </w:rPr>
        <w:t xml:space="preserve"> will move the DSG reserves into a negative position.</w:t>
      </w:r>
      <w:r w:rsidR="003C33A0" w:rsidRPr="00420DD5">
        <w:rPr>
          <w:rFonts w:ascii="Arial" w:hAnsi="Arial"/>
          <w:szCs w:val="20"/>
        </w:rPr>
        <w:t xml:space="preserve"> </w:t>
      </w:r>
      <w:r w:rsidR="00A90509" w:rsidRPr="00420DD5">
        <w:rPr>
          <w:rFonts w:ascii="Arial" w:hAnsi="Arial"/>
          <w:szCs w:val="20"/>
        </w:rPr>
        <w:t xml:space="preserve">Due to the size of the deficit Merton will be required to </w:t>
      </w:r>
      <w:r w:rsidR="009F7BE8" w:rsidRPr="00420DD5">
        <w:rPr>
          <w:rFonts w:ascii="Arial" w:hAnsi="Arial"/>
          <w:szCs w:val="20"/>
        </w:rPr>
        <w:t xml:space="preserve">meet with the </w:t>
      </w:r>
      <w:r w:rsidR="00A90509" w:rsidRPr="00420DD5">
        <w:rPr>
          <w:rFonts w:ascii="Arial" w:hAnsi="Arial"/>
          <w:szCs w:val="20"/>
        </w:rPr>
        <w:t>ESFA</w:t>
      </w:r>
      <w:r w:rsidR="009F7BE8" w:rsidRPr="00420DD5">
        <w:rPr>
          <w:rFonts w:ascii="Arial" w:hAnsi="Arial"/>
          <w:szCs w:val="20"/>
        </w:rPr>
        <w:t xml:space="preserve"> again in November 2020</w:t>
      </w:r>
      <w:r w:rsidR="00A90509" w:rsidRPr="00420DD5">
        <w:rPr>
          <w:rFonts w:ascii="Arial" w:hAnsi="Arial"/>
          <w:szCs w:val="20"/>
        </w:rPr>
        <w:t xml:space="preserve">. </w:t>
      </w:r>
      <w:r w:rsidR="009F7BE8" w:rsidRPr="00420DD5">
        <w:rPr>
          <w:rFonts w:ascii="Arial" w:hAnsi="Arial"/>
          <w:szCs w:val="20"/>
        </w:rPr>
        <w:t>Schools Forum will be updated at the following forum meeting.</w:t>
      </w:r>
    </w:p>
    <w:p w14:paraId="38B07262" w14:textId="77777777" w:rsidR="000E1F3C" w:rsidRPr="00420DD5" w:rsidRDefault="000E1F3C" w:rsidP="00CA1E66">
      <w:pPr>
        <w:pStyle w:val="ListParagraph"/>
        <w:jc w:val="both"/>
        <w:rPr>
          <w:rFonts w:ascii="Arial" w:hAnsi="Arial"/>
          <w:szCs w:val="20"/>
          <w:highlight w:val="yellow"/>
        </w:rPr>
      </w:pPr>
    </w:p>
    <w:p w14:paraId="601FDEBC" w14:textId="143441DA" w:rsidR="000E1F3C" w:rsidRPr="0003678F" w:rsidRDefault="000E1F3C" w:rsidP="00CA1E66">
      <w:pPr>
        <w:numPr>
          <w:ilvl w:val="0"/>
          <w:numId w:val="8"/>
        </w:numPr>
        <w:tabs>
          <w:tab w:val="clear" w:pos="927"/>
          <w:tab w:val="num" w:pos="720"/>
        </w:tabs>
        <w:ind w:left="720" w:hanging="720"/>
        <w:jc w:val="both"/>
        <w:rPr>
          <w:rFonts w:ascii="Arial" w:hAnsi="Arial"/>
          <w:szCs w:val="20"/>
        </w:rPr>
      </w:pPr>
      <w:r w:rsidRPr="0003678F">
        <w:rPr>
          <w:rFonts w:ascii="Arial" w:hAnsi="Arial"/>
          <w:szCs w:val="20"/>
        </w:rPr>
        <w:t>There are already some councils in this position and the directors of Children, Schools and Families as well as Corporate Services both continue to work with their professional counterparts to lobby nationally for government to address the pressures.</w:t>
      </w:r>
    </w:p>
    <w:p w14:paraId="6E6741DD" w14:textId="77777777" w:rsidR="00570446" w:rsidRPr="00420DD5" w:rsidRDefault="00570446" w:rsidP="00CA1E66">
      <w:pPr>
        <w:pStyle w:val="ListParagraph"/>
        <w:jc w:val="both"/>
        <w:rPr>
          <w:rFonts w:ascii="Arial" w:hAnsi="Arial"/>
          <w:szCs w:val="20"/>
          <w:highlight w:val="yellow"/>
        </w:rPr>
      </w:pPr>
    </w:p>
    <w:p w14:paraId="6E6741DE" w14:textId="77777777" w:rsidR="00570446" w:rsidRPr="0003678F" w:rsidRDefault="00570446" w:rsidP="00CA1E66">
      <w:pPr>
        <w:numPr>
          <w:ilvl w:val="0"/>
          <w:numId w:val="8"/>
        </w:numPr>
        <w:tabs>
          <w:tab w:val="clear" w:pos="927"/>
          <w:tab w:val="num" w:pos="709"/>
        </w:tabs>
        <w:ind w:left="709" w:hanging="709"/>
        <w:jc w:val="both"/>
        <w:rPr>
          <w:rFonts w:ascii="Arial" w:hAnsi="Arial"/>
          <w:szCs w:val="20"/>
        </w:rPr>
      </w:pPr>
      <w:r w:rsidRPr="0003678F">
        <w:rPr>
          <w:rFonts w:ascii="Arial" w:hAnsi="Arial"/>
          <w:szCs w:val="20"/>
        </w:rPr>
        <w:lastRenderedPageBreak/>
        <w:t>We have also been working closely with other south west London authorities to identify value for money practice and joint c</w:t>
      </w:r>
      <w:r w:rsidR="00C51C77" w:rsidRPr="0003678F">
        <w:rPr>
          <w:rFonts w:ascii="Arial" w:hAnsi="Arial"/>
          <w:szCs w:val="20"/>
        </w:rPr>
        <w:t>ommissioning initiatives aimed at reducing</w:t>
      </w:r>
      <w:r w:rsidRPr="0003678F">
        <w:rPr>
          <w:rFonts w:ascii="Arial" w:hAnsi="Arial"/>
          <w:szCs w:val="20"/>
        </w:rPr>
        <w:t xml:space="preserve"> costs.</w:t>
      </w:r>
    </w:p>
    <w:p w14:paraId="6E6741DF" w14:textId="77777777" w:rsidR="00580DE7" w:rsidRPr="00420DD5" w:rsidRDefault="00580DE7" w:rsidP="00C1519A">
      <w:pPr>
        <w:rPr>
          <w:rFonts w:ascii="Arial" w:hAnsi="Arial"/>
          <w:szCs w:val="20"/>
        </w:rPr>
      </w:pPr>
    </w:p>
    <w:p w14:paraId="6E6741E0" w14:textId="77777777" w:rsidR="00904A8D" w:rsidRPr="00420DD5" w:rsidRDefault="00904A8D">
      <w:pPr>
        <w:pStyle w:val="Header"/>
        <w:numPr>
          <w:ilvl w:val="0"/>
          <w:numId w:val="2"/>
        </w:numPr>
        <w:tabs>
          <w:tab w:val="clear" w:pos="4153"/>
          <w:tab w:val="clear" w:pos="8306"/>
        </w:tabs>
        <w:ind w:hanging="720"/>
        <w:rPr>
          <w:b/>
        </w:rPr>
      </w:pPr>
      <w:r w:rsidRPr="00420DD5">
        <w:rPr>
          <w:rFonts w:cs="Arial"/>
          <w:b/>
          <w:bCs/>
          <w:sz w:val="28"/>
        </w:rPr>
        <w:t>Financial, resource and property implications</w:t>
      </w:r>
    </w:p>
    <w:p w14:paraId="6E6741E1" w14:textId="77777777" w:rsidR="00904A8D" w:rsidRPr="00420DD5" w:rsidRDefault="00904A8D">
      <w:pPr>
        <w:pStyle w:val="Header"/>
        <w:tabs>
          <w:tab w:val="clear" w:pos="4153"/>
          <w:tab w:val="clear" w:pos="8306"/>
        </w:tabs>
        <w:rPr>
          <w:b/>
        </w:rPr>
      </w:pPr>
    </w:p>
    <w:p w14:paraId="6E6741E2" w14:textId="77777777" w:rsidR="00904A8D" w:rsidRPr="00420DD5" w:rsidRDefault="00B56C5A" w:rsidP="00CA1E66">
      <w:pPr>
        <w:pStyle w:val="Header"/>
        <w:tabs>
          <w:tab w:val="clear" w:pos="4153"/>
          <w:tab w:val="clear" w:pos="8306"/>
        </w:tabs>
        <w:ind w:left="720" w:hanging="720"/>
        <w:jc w:val="both"/>
        <w:rPr>
          <w:bCs/>
        </w:rPr>
      </w:pPr>
      <w:r w:rsidRPr="00420DD5">
        <w:rPr>
          <w:bCs/>
        </w:rPr>
        <w:t>4</w:t>
      </w:r>
      <w:r w:rsidR="00904A8D" w:rsidRPr="00420DD5">
        <w:rPr>
          <w:bCs/>
        </w:rPr>
        <w:t>.1</w:t>
      </w:r>
      <w:r w:rsidR="00904A8D" w:rsidRPr="00420DD5">
        <w:rPr>
          <w:bCs/>
        </w:rPr>
        <w:tab/>
        <w:t>The financial implications are detailed in the main body of this report</w:t>
      </w:r>
      <w:r w:rsidR="00974BB9" w:rsidRPr="00420DD5">
        <w:rPr>
          <w:bCs/>
        </w:rPr>
        <w:t>.</w:t>
      </w:r>
      <w:r w:rsidR="00904A8D" w:rsidRPr="00420DD5">
        <w:rPr>
          <w:bCs/>
        </w:rPr>
        <w:br/>
      </w:r>
    </w:p>
    <w:p w14:paraId="6E6741E3" w14:textId="77777777" w:rsidR="00904A8D" w:rsidRPr="00420DD5" w:rsidRDefault="00904A8D">
      <w:pPr>
        <w:pStyle w:val="Header"/>
        <w:numPr>
          <w:ilvl w:val="0"/>
          <w:numId w:val="2"/>
        </w:numPr>
        <w:tabs>
          <w:tab w:val="clear" w:pos="4153"/>
          <w:tab w:val="clear" w:pos="8306"/>
        </w:tabs>
        <w:ind w:hanging="720"/>
        <w:rPr>
          <w:b/>
        </w:rPr>
      </w:pPr>
      <w:r w:rsidRPr="00420DD5">
        <w:rPr>
          <w:rFonts w:cs="Arial"/>
          <w:b/>
          <w:bCs/>
          <w:sz w:val="28"/>
        </w:rPr>
        <w:t>Legal and statutory implications</w:t>
      </w:r>
      <w:r w:rsidRPr="00420DD5">
        <w:rPr>
          <w:b/>
        </w:rPr>
        <w:br/>
      </w:r>
    </w:p>
    <w:p w14:paraId="6E6741E4" w14:textId="77777777" w:rsidR="00904A8D" w:rsidRPr="00420DD5" w:rsidRDefault="00904A8D" w:rsidP="00CA1E66">
      <w:pPr>
        <w:pStyle w:val="Header"/>
        <w:numPr>
          <w:ilvl w:val="1"/>
          <w:numId w:val="2"/>
        </w:numPr>
        <w:tabs>
          <w:tab w:val="clear" w:pos="4153"/>
          <w:tab w:val="clear" w:pos="8306"/>
        </w:tabs>
        <w:ind w:hanging="720"/>
        <w:jc w:val="both"/>
      </w:pPr>
      <w:r w:rsidRPr="00420DD5">
        <w:t xml:space="preserve">No legal implications at this stage. </w:t>
      </w:r>
    </w:p>
    <w:p w14:paraId="6E6741E5" w14:textId="77777777" w:rsidR="00904A8D" w:rsidRPr="00420DD5" w:rsidRDefault="00904A8D">
      <w:pPr>
        <w:pStyle w:val="Header"/>
        <w:tabs>
          <w:tab w:val="clear" w:pos="4153"/>
          <w:tab w:val="clear" w:pos="8306"/>
        </w:tabs>
        <w:ind w:left="285" w:hanging="285"/>
        <w:rPr>
          <w:b/>
        </w:rPr>
      </w:pPr>
    </w:p>
    <w:p w14:paraId="6E6741E6" w14:textId="77777777" w:rsidR="00904A8D" w:rsidRPr="00420DD5" w:rsidRDefault="00904A8D">
      <w:pPr>
        <w:pStyle w:val="Header"/>
        <w:numPr>
          <w:ilvl w:val="0"/>
          <w:numId w:val="2"/>
        </w:numPr>
        <w:tabs>
          <w:tab w:val="clear" w:pos="4153"/>
          <w:tab w:val="clear" w:pos="8306"/>
        </w:tabs>
        <w:ind w:hanging="720"/>
        <w:rPr>
          <w:b/>
        </w:rPr>
      </w:pPr>
      <w:r w:rsidRPr="00420DD5">
        <w:rPr>
          <w:rFonts w:cs="Arial"/>
          <w:b/>
          <w:bCs/>
          <w:sz w:val="28"/>
        </w:rPr>
        <w:t>Human rights, equalities and community cohesion implications</w:t>
      </w:r>
      <w:r w:rsidRPr="00420DD5">
        <w:rPr>
          <w:b/>
        </w:rPr>
        <w:br/>
      </w:r>
    </w:p>
    <w:p w14:paraId="6E6741E7" w14:textId="77777777" w:rsidR="00904A8D" w:rsidRPr="00420DD5" w:rsidRDefault="00904A8D" w:rsidP="00CA1E66">
      <w:pPr>
        <w:pStyle w:val="Header"/>
        <w:numPr>
          <w:ilvl w:val="1"/>
          <w:numId w:val="2"/>
        </w:numPr>
        <w:tabs>
          <w:tab w:val="clear" w:pos="4153"/>
          <w:tab w:val="clear" w:pos="8306"/>
        </w:tabs>
        <w:ind w:hanging="720"/>
        <w:jc w:val="both"/>
      </w:pPr>
      <w:r w:rsidRPr="00420DD5">
        <w:t>None at this stage.</w:t>
      </w:r>
    </w:p>
    <w:p w14:paraId="6E6741E8" w14:textId="77777777" w:rsidR="00904A8D" w:rsidRPr="00420DD5" w:rsidRDefault="00904A8D">
      <w:pPr>
        <w:autoSpaceDE w:val="0"/>
        <w:autoSpaceDN w:val="0"/>
        <w:adjustRightInd w:val="0"/>
        <w:rPr>
          <w:color w:val="000000"/>
          <w:lang w:val="en-US"/>
        </w:rPr>
      </w:pPr>
    </w:p>
    <w:p w14:paraId="6E6741E9" w14:textId="77777777" w:rsidR="00904A8D" w:rsidRPr="00420DD5" w:rsidRDefault="00904A8D">
      <w:pPr>
        <w:pStyle w:val="Header"/>
        <w:numPr>
          <w:ilvl w:val="0"/>
          <w:numId w:val="2"/>
        </w:numPr>
        <w:tabs>
          <w:tab w:val="clear" w:pos="4153"/>
          <w:tab w:val="clear" w:pos="8306"/>
        </w:tabs>
        <w:ind w:hanging="720"/>
        <w:rPr>
          <w:rFonts w:cs="Arial"/>
          <w:b/>
          <w:bCs/>
          <w:sz w:val="28"/>
        </w:rPr>
      </w:pPr>
      <w:r w:rsidRPr="00420DD5">
        <w:rPr>
          <w:rFonts w:cs="Arial"/>
          <w:b/>
          <w:bCs/>
          <w:sz w:val="28"/>
        </w:rPr>
        <w:t>Appendices</w:t>
      </w:r>
    </w:p>
    <w:p w14:paraId="6E6741EA" w14:textId="77777777" w:rsidR="00904A8D" w:rsidRPr="00420DD5" w:rsidRDefault="00904A8D">
      <w:pPr>
        <w:pStyle w:val="Header"/>
        <w:tabs>
          <w:tab w:val="clear" w:pos="4153"/>
          <w:tab w:val="clear" w:pos="8306"/>
        </w:tabs>
      </w:pPr>
    </w:p>
    <w:p w14:paraId="6E6741EB" w14:textId="77777777" w:rsidR="007970B2" w:rsidRPr="00420DD5" w:rsidRDefault="005A18BF" w:rsidP="002D49FF">
      <w:pPr>
        <w:pStyle w:val="Header"/>
        <w:numPr>
          <w:ilvl w:val="1"/>
          <w:numId w:val="2"/>
        </w:numPr>
        <w:tabs>
          <w:tab w:val="clear" w:pos="4153"/>
          <w:tab w:val="clear" w:pos="8306"/>
        </w:tabs>
        <w:ind w:hanging="720"/>
      </w:pPr>
      <w:r w:rsidRPr="00420DD5">
        <w:t>None</w:t>
      </w:r>
    </w:p>
    <w:p w14:paraId="6E6741EC" w14:textId="77777777" w:rsidR="00904A8D" w:rsidRPr="00420DD5" w:rsidRDefault="00904A8D">
      <w:pPr>
        <w:pStyle w:val="Header"/>
        <w:tabs>
          <w:tab w:val="clear" w:pos="4153"/>
          <w:tab w:val="clear" w:pos="8306"/>
        </w:tabs>
      </w:pPr>
      <w:r w:rsidRPr="00420DD5">
        <w:tab/>
      </w:r>
    </w:p>
    <w:p w14:paraId="6E6741ED" w14:textId="77777777" w:rsidR="00904A8D" w:rsidRPr="00420DD5" w:rsidRDefault="00904A8D">
      <w:pPr>
        <w:pStyle w:val="Header"/>
        <w:numPr>
          <w:ilvl w:val="0"/>
          <w:numId w:val="2"/>
        </w:numPr>
        <w:tabs>
          <w:tab w:val="clear" w:pos="4153"/>
          <w:tab w:val="clear" w:pos="8306"/>
        </w:tabs>
        <w:ind w:hanging="720"/>
        <w:rPr>
          <w:rFonts w:cs="Arial"/>
          <w:b/>
          <w:bCs/>
          <w:sz w:val="28"/>
        </w:rPr>
      </w:pPr>
      <w:r w:rsidRPr="00420DD5">
        <w:rPr>
          <w:rFonts w:cs="Arial"/>
          <w:b/>
          <w:bCs/>
          <w:sz w:val="28"/>
        </w:rPr>
        <w:t xml:space="preserve">Background Papers – the following documents have been relied on in drawing up this report but do not form part of the report: </w:t>
      </w:r>
    </w:p>
    <w:p w14:paraId="6E6741EE" w14:textId="77777777" w:rsidR="00904A8D" w:rsidRDefault="00904A8D">
      <w:pPr>
        <w:pStyle w:val="Header"/>
        <w:tabs>
          <w:tab w:val="clear" w:pos="4153"/>
          <w:tab w:val="clear" w:pos="8306"/>
        </w:tabs>
        <w:rPr>
          <w:rFonts w:cs="Arial"/>
          <w:b/>
          <w:bCs/>
          <w:sz w:val="28"/>
        </w:rPr>
      </w:pPr>
    </w:p>
    <w:p w14:paraId="6E6741EF" w14:textId="77777777" w:rsidR="00904A8D" w:rsidRPr="00420DD5" w:rsidRDefault="00904A8D" w:rsidP="00CA1E66">
      <w:pPr>
        <w:pStyle w:val="Header"/>
        <w:numPr>
          <w:ilvl w:val="1"/>
          <w:numId w:val="2"/>
        </w:numPr>
        <w:tabs>
          <w:tab w:val="clear" w:pos="4153"/>
          <w:tab w:val="clear" w:pos="8306"/>
          <w:tab w:val="left" w:pos="720"/>
        </w:tabs>
        <w:ind w:hanging="720"/>
        <w:jc w:val="both"/>
      </w:pPr>
      <w:r w:rsidRPr="00420DD5">
        <w:t>Centrally held financial information and other papers held by the Children Schools and Families Finance Team.</w:t>
      </w:r>
    </w:p>
    <w:p w14:paraId="6E6741F0" w14:textId="77777777" w:rsidR="00904A8D" w:rsidRPr="00420DD5" w:rsidRDefault="00904A8D">
      <w:pPr>
        <w:pStyle w:val="Header"/>
        <w:tabs>
          <w:tab w:val="clear" w:pos="4153"/>
          <w:tab w:val="clear" w:pos="8306"/>
        </w:tabs>
      </w:pPr>
    </w:p>
    <w:p w14:paraId="6E6741F1" w14:textId="77777777" w:rsidR="00904A8D" w:rsidRPr="00420DD5" w:rsidRDefault="00904A8D">
      <w:pPr>
        <w:pStyle w:val="Header"/>
        <w:numPr>
          <w:ilvl w:val="0"/>
          <w:numId w:val="2"/>
        </w:numPr>
        <w:tabs>
          <w:tab w:val="clear" w:pos="4153"/>
          <w:tab w:val="clear" w:pos="8306"/>
        </w:tabs>
        <w:ind w:hanging="720"/>
        <w:rPr>
          <w:rFonts w:cs="Arial"/>
          <w:b/>
          <w:bCs/>
          <w:sz w:val="28"/>
        </w:rPr>
      </w:pPr>
      <w:r w:rsidRPr="00420DD5">
        <w:rPr>
          <w:rFonts w:cs="Arial"/>
          <w:b/>
          <w:bCs/>
          <w:sz w:val="28"/>
        </w:rPr>
        <w:t>Report author</w:t>
      </w:r>
    </w:p>
    <w:p w14:paraId="6E6741F2" w14:textId="77777777" w:rsidR="00904A8D" w:rsidRPr="00420DD5" w:rsidRDefault="00904A8D">
      <w:pPr>
        <w:pStyle w:val="Header"/>
        <w:tabs>
          <w:tab w:val="clear" w:pos="4153"/>
          <w:tab w:val="clear" w:pos="8306"/>
        </w:tabs>
      </w:pPr>
    </w:p>
    <w:p w14:paraId="6E6741F3" w14:textId="06E01BEE" w:rsidR="00904A8D" w:rsidRPr="00420DD5" w:rsidRDefault="002D49FF">
      <w:pPr>
        <w:pStyle w:val="Header"/>
        <w:tabs>
          <w:tab w:val="clear" w:pos="4153"/>
          <w:tab w:val="clear" w:pos="8306"/>
        </w:tabs>
      </w:pPr>
      <w:r w:rsidRPr="00420DD5">
        <w:t>Feroza Begum</w:t>
      </w:r>
      <w:r w:rsidR="00904A8D" w:rsidRPr="00420DD5">
        <w:t xml:space="preserve">, Service Financial Adviser CSF    </w:t>
      </w:r>
    </w:p>
    <w:p w14:paraId="6E6741F4" w14:textId="44F87118" w:rsidR="00904A8D" w:rsidRPr="00420DD5" w:rsidRDefault="002D49FF">
      <w:pPr>
        <w:pStyle w:val="Header"/>
        <w:tabs>
          <w:tab w:val="clear" w:pos="4153"/>
          <w:tab w:val="clear" w:pos="8306"/>
        </w:tabs>
      </w:pPr>
      <w:r w:rsidRPr="00420DD5">
        <w:t>0208 545 3946</w:t>
      </w:r>
    </w:p>
    <w:p w14:paraId="6E6741F5" w14:textId="470AA4DD" w:rsidR="00904A8D" w:rsidRPr="00420DD5" w:rsidRDefault="009771D4">
      <w:pPr>
        <w:pStyle w:val="Header"/>
        <w:tabs>
          <w:tab w:val="clear" w:pos="4153"/>
          <w:tab w:val="clear" w:pos="8306"/>
        </w:tabs>
      </w:pPr>
      <w:hyperlink r:id="rId11" w:history="1">
        <w:r w:rsidR="002D49FF" w:rsidRPr="00420DD5">
          <w:rPr>
            <w:rStyle w:val="Hyperlink"/>
          </w:rPr>
          <w:t>feroza.begum@merton.gov.uk</w:t>
        </w:r>
      </w:hyperlink>
    </w:p>
    <w:p w14:paraId="6E6741F6" w14:textId="77777777" w:rsidR="00904A8D" w:rsidRPr="00420DD5" w:rsidRDefault="00904A8D">
      <w:pPr>
        <w:pStyle w:val="Header"/>
        <w:tabs>
          <w:tab w:val="clear" w:pos="4153"/>
          <w:tab w:val="clear" w:pos="8306"/>
        </w:tabs>
      </w:pPr>
    </w:p>
    <w:p w14:paraId="6E6741F7" w14:textId="77777777" w:rsidR="00904A8D" w:rsidRDefault="00904A8D" w:rsidP="00CA1E66">
      <w:pPr>
        <w:pStyle w:val="Header"/>
        <w:tabs>
          <w:tab w:val="clear" w:pos="4153"/>
          <w:tab w:val="clear" w:pos="8306"/>
        </w:tabs>
        <w:jc w:val="both"/>
      </w:pPr>
      <w:r w:rsidRPr="00420DD5">
        <w:t xml:space="preserve">Further information about Merton Council can be obtained from its web site </w:t>
      </w:r>
      <w:hyperlink r:id="rId12" w:history="1">
        <w:r w:rsidRPr="00420DD5">
          <w:rPr>
            <w:rStyle w:val="Hyperlink"/>
          </w:rPr>
          <w:t>www.merton.gov.uk</w:t>
        </w:r>
      </w:hyperlink>
      <w:r>
        <w:t xml:space="preserve"> </w:t>
      </w:r>
    </w:p>
    <w:p w14:paraId="6E6741F8" w14:textId="77777777" w:rsidR="00117944" w:rsidRDefault="00117944">
      <w:pPr>
        <w:pStyle w:val="Header"/>
        <w:tabs>
          <w:tab w:val="clear" w:pos="4153"/>
          <w:tab w:val="clear" w:pos="8306"/>
        </w:tabs>
        <w:jc w:val="right"/>
        <w:rPr>
          <w:b/>
          <w:sz w:val="36"/>
        </w:rPr>
      </w:pPr>
    </w:p>
    <w:p w14:paraId="6E6741F9" w14:textId="77777777" w:rsidR="002072A9" w:rsidRDefault="002072A9">
      <w:pPr>
        <w:rPr>
          <w:b/>
          <w:sz w:val="36"/>
        </w:rPr>
        <w:sectPr w:rsidR="002072A9" w:rsidSect="00B56C5A">
          <w:footerReference w:type="default" r:id="rId13"/>
          <w:pgSz w:w="11906" w:h="16838"/>
          <w:pgMar w:top="1440" w:right="1418" w:bottom="1242" w:left="1418" w:header="709" w:footer="709" w:gutter="0"/>
          <w:cols w:space="708"/>
          <w:docGrid w:linePitch="360"/>
        </w:sectPr>
      </w:pPr>
    </w:p>
    <w:p w14:paraId="6E6741FA" w14:textId="77777777" w:rsidR="00117944" w:rsidRPr="00E449D2" w:rsidRDefault="00117944" w:rsidP="00B762F5">
      <w:pPr>
        <w:rPr>
          <w:rFonts w:ascii="Arial" w:hAnsi="Arial"/>
          <w:b/>
        </w:rPr>
      </w:pPr>
    </w:p>
    <w:sectPr w:rsidR="00117944" w:rsidRPr="00E449D2" w:rsidSect="002072A9">
      <w:type w:val="continuous"/>
      <w:pgSz w:w="11906" w:h="16838"/>
      <w:pgMar w:top="1440"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741FF" w14:textId="77777777" w:rsidR="00CE04AA" w:rsidRDefault="00CE04AA">
      <w:r>
        <w:separator/>
      </w:r>
    </w:p>
  </w:endnote>
  <w:endnote w:type="continuationSeparator" w:id="0">
    <w:p w14:paraId="6E674200" w14:textId="77777777" w:rsidR="00CE04AA" w:rsidRDefault="00CE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74201" w14:textId="0ED90F7E" w:rsidR="00CE04AA" w:rsidRDefault="00CE04AA" w:rsidP="00C26836">
    <w:pPr>
      <w:pStyle w:val="Footer"/>
      <w:jc w:val="center"/>
    </w:pPr>
    <w:r>
      <w:rPr>
        <w:rStyle w:val="PageNumber"/>
      </w:rPr>
      <w:fldChar w:fldCharType="begin"/>
    </w:r>
    <w:r>
      <w:rPr>
        <w:rStyle w:val="PageNumber"/>
      </w:rPr>
      <w:instrText xml:space="preserve"> PAGE </w:instrText>
    </w:r>
    <w:r>
      <w:rPr>
        <w:rStyle w:val="PageNumber"/>
      </w:rPr>
      <w:fldChar w:fldCharType="separate"/>
    </w:r>
    <w:r w:rsidR="009771D4">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741FD" w14:textId="77777777" w:rsidR="00CE04AA" w:rsidRDefault="00CE04AA">
      <w:r>
        <w:separator/>
      </w:r>
    </w:p>
  </w:footnote>
  <w:footnote w:type="continuationSeparator" w:id="0">
    <w:p w14:paraId="6E6741FE" w14:textId="77777777" w:rsidR="00CE04AA" w:rsidRDefault="00CE0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66B57"/>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472398"/>
    <w:multiLevelType w:val="hybridMultilevel"/>
    <w:tmpl w:val="CDCCA968"/>
    <w:lvl w:ilvl="0" w:tplc="B9265FF2">
      <w:start w:val="1"/>
      <w:numFmt w:val="decimal"/>
      <w:lvlText w:val="3.%1"/>
      <w:lvlJc w:val="left"/>
      <w:pPr>
        <w:tabs>
          <w:tab w:val="num" w:pos="927"/>
        </w:tabs>
        <w:ind w:left="927" w:hanging="567"/>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FC7F22"/>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C47A8E"/>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535632B"/>
    <w:multiLevelType w:val="multilevel"/>
    <w:tmpl w:val="4ECC710A"/>
    <w:lvl w:ilvl="0">
      <w:start w:val="2"/>
      <w:numFmt w:val="decimal"/>
      <w:lvlText w:val="%1."/>
      <w:lvlJc w:val="left"/>
      <w:pPr>
        <w:tabs>
          <w:tab w:val="num" w:pos="720"/>
        </w:tabs>
        <w:ind w:left="720" w:hanging="360"/>
      </w:pPr>
      <w:rPr>
        <w:rFonts w:hint="default"/>
        <w:sz w:val="28"/>
        <w:szCs w:val="28"/>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725E5A16"/>
    <w:multiLevelType w:val="hybridMultilevel"/>
    <w:tmpl w:val="03D66AFC"/>
    <w:lvl w:ilvl="0" w:tplc="FFFFFFFF">
      <w:start w:val="2"/>
      <w:numFmt w:val="upperLetter"/>
      <w:pStyle w:val="Heading7"/>
      <w:lvlText w:val="%1."/>
      <w:lvlJc w:val="left"/>
      <w:pPr>
        <w:tabs>
          <w:tab w:val="num" w:pos="855"/>
        </w:tabs>
        <w:ind w:left="855" w:hanging="495"/>
      </w:pPr>
      <w:rPr>
        <w:rFonts w:hint="default"/>
      </w:r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8983AA5"/>
    <w:multiLevelType w:val="hybridMultilevel"/>
    <w:tmpl w:val="13C60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98B2095"/>
    <w:multiLevelType w:val="multilevel"/>
    <w:tmpl w:val="12BAC974"/>
    <w:lvl w:ilvl="0">
      <w:start w:val="1"/>
      <w:numFmt w:val="decimal"/>
      <w:lvlText w:val="%1."/>
      <w:lvlJc w:val="left"/>
      <w:pPr>
        <w:tabs>
          <w:tab w:val="num" w:pos="360"/>
        </w:tabs>
        <w:ind w:left="360" w:hanging="360"/>
      </w:pPr>
      <w:rPr>
        <w:rFonts w:hint="default"/>
        <w:sz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7CAA5097"/>
    <w:multiLevelType w:val="hybridMultilevel"/>
    <w:tmpl w:val="CA80472C"/>
    <w:lvl w:ilvl="0" w:tplc="04090017">
      <w:start w:val="1"/>
      <w:numFmt w:val="lowerLetter"/>
      <w:lvlText w:val="%1)"/>
      <w:lvlJc w:val="left"/>
      <w:pPr>
        <w:tabs>
          <w:tab w:val="num" w:pos="720"/>
        </w:tabs>
        <w:ind w:left="720" w:hanging="360"/>
      </w:pPr>
      <w:rPr>
        <w:rFonts w:hint="default"/>
      </w:rPr>
    </w:lvl>
    <w:lvl w:ilvl="1" w:tplc="317016FC">
      <w:start w:val="1"/>
      <w:numFmt w:val="lowerLetter"/>
      <w:lvlText w:val="%2)"/>
      <w:lvlJc w:val="left"/>
      <w:pPr>
        <w:tabs>
          <w:tab w:val="num" w:pos="1440"/>
        </w:tabs>
        <w:ind w:left="1440" w:hanging="360"/>
      </w:pPr>
      <w:rPr>
        <w:rFonts w:hint="default"/>
      </w:rPr>
    </w:lvl>
    <w:lvl w:ilvl="2" w:tplc="5B9CEB36">
      <w:start w:val="1"/>
      <w:numFmt w:val="decimal"/>
      <w:lvlText w:val="%3)"/>
      <w:lvlJc w:val="left"/>
      <w:pPr>
        <w:tabs>
          <w:tab w:val="num" w:pos="2340"/>
        </w:tabs>
        <w:ind w:left="2340" w:hanging="360"/>
      </w:pPr>
      <w:rPr>
        <w:rFonts w:hint="default"/>
      </w:rPr>
    </w:lvl>
    <w:lvl w:ilvl="3" w:tplc="AF921F4A">
      <w:start w:val="1"/>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7"/>
  </w:num>
  <w:num w:numId="4">
    <w:abstractNumId w:val="8"/>
  </w:num>
  <w:num w:numId="5">
    <w:abstractNumId w:val="2"/>
  </w:num>
  <w:num w:numId="6">
    <w:abstractNumId w:val="0"/>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2F"/>
    <w:rsid w:val="000061A6"/>
    <w:rsid w:val="0000691E"/>
    <w:rsid w:val="000140C2"/>
    <w:rsid w:val="00016282"/>
    <w:rsid w:val="0003678F"/>
    <w:rsid w:val="0004318D"/>
    <w:rsid w:val="00065F87"/>
    <w:rsid w:val="000807D3"/>
    <w:rsid w:val="00092A34"/>
    <w:rsid w:val="00094B92"/>
    <w:rsid w:val="000A481E"/>
    <w:rsid w:val="000A4BC1"/>
    <w:rsid w:val="000C1D8C"/>
    <w:rsid w:val="000C4D73"/>
    <w:rsid w:val="000C5D71"/>
    <w:rsid w:val="000C6058"/>
    <w:rsid w:val="000E1F3C"/>
    <w:rsid w:val="001033F9"/>
    <w:rsid w:val="0010723E"/>
    <w:rsid w:val="00117944"/>
    <w:rsid w:val="001248F4"/>
    <w:rsid w:val="00141ECE"/>
    <w:rsid w:val="001429C1"/>
    <w:rsid w:val="00143C85"/>
    <w:rsid w:val="00144791"/>
    <w:rsid w:val="00157B9D"/>
    <w:rsid w:val="001641D2"/>
    <w:rsid w:val="00184291"/>
    <w:rsid w:val="001B3EEC"/>
    <w:rsid w:val="001C2942"/>
    <w:rsid w:val="001E226F"/>
    <w:rsid w:val="001F00EE"/>
    <w:rsid w:val="002072A9"/>
    <w:rsid w:val="00213F8C"/>
    <w:rsid w:val="00216C52"/>
    <w:rsid w:val="0023442C"/>
    <w:rsid w:val="00245A24"/>
    <w:rsid w:val="00256D7D"/>
    <w:rsid w:val="002A58DA"/>
    <w:rsid w:val="002C3DA9"/>
    <w:rsid w:val="002D49FF"/>
    <w:rsid w:val="002D7326"/>
    <w:rsid w:val="002E2DD2"/>
    <w:rsid w:val="002E4C70"/>
    <w:rsid w:val="002E5D2C"/>
    <w:rsid w:val="002E6C06"/>
    <w:rsid w:val="002F1848"/>
    <w:rsid w:val="002F1DC0"/>
    <w:rsid w:val="00301840"/>
    <w:rsid w:val="00303DE8"/>
    <w:rsid w:val="003145B9"/>
    <w:rsid w:val="0032100F"/>
    <w:rsid w:val="00331168"/>
    <w:rsid w:val="0033186E"/>
    <w:rsid w:val="00336451"/>
    <w:rsid w:val="00343C21"/>
    <w:rsid w:val="003462EF"/>
    <w:rsid w:val="00351248"/>
    <w:rsid w:val="00351E20"/>
    <w:rsid w:val="00353C19"/>
    <w:rsid w:val="003637ED"/>
    <w:rsid w:val="00364C3C"/>
    <w:rsid w:val="00374717"/>
    <w:rsid w:val="00381A20"/>
    <w:rsid w:val="003858E1"/>
    <w:rsid w:val="0039464E"/>
    <w:rsid w:val="003A3819"/>
    <w:rsid w:val="003C296D"/>
    <w:rsid w:val="003C33A0"/>
    <w:rsid w:val="003C6DF5"/>
    <w:rsid w:val="003D4421"/>
    <w:rsid w:val="003E0433"/>
    <w:rsid w:val="003E2D2B"/>
    <w:rsid w:val="003F23A2"/>
    <w:rsid w:val="003F6F87"/>
    <w:rsid w:val="004026A3"/>
    <w:rsid w:val="00420DD5"/>
    <w:rsid w:val="00434147"/>
    <w:rsid w:val="004341EF"/>
    <w:rsid w:val="00434CBA"/>
    <w:rsid w:val="00454DBB"/>
    <w:rsid w:val="0046269E"/>
    <w:rsid w:val="0046274E"/>
    <w:rsid w:val="0048394B"/>
    <w:rsid w:val="00494166"/>
    <w:rsid w:val="00497E39"/>
    <w:rsid w:val="004A251B"/>
    <w:rsid w:val="004B01CC"/>
    <w:rsid w:val="004B48DB"/>
    <w:rsid w:val="004B584D"/>
    <w:rsid w:val="004C1A79"/>
    <w:rsid w:val="004C26F6"/>
    <w:rsid w:val="004D1B64"/>
    <w:rsid w:val="004D691B"/>
    <w:rsid w:val="004D7AA9"/>
    <w:rsid w:val="004E2A4A"/>
    <w:rsid w:val="004E2D0C"/>
    <w:rsid w:val="004F3DD0"/>
    <w:rsid w:val="004F465B"/>
    <w:rsid w:val="004F666E"/>
    <w:rsid w:val="005040BF"/>
    <w:rsid w:val="00505B71"/>
    <w:rsid w:val="005068B4"/>
    <w:rsid w:val="00507060"/>
    <w:rsid w:val="00512D3D"/>
    <w:rsid w:val="00513BFE"/>
    <w:rsid w:val="00525FAB"/>
    <w:rsid w:val="00530C6A"/>
    <w:rsid w:val="005427CD"/>
    <w:rsid w:val="00550FBD"/>
    <w:rsid w:val="005549CF"/>
    <w:rsid w:val="00564475"/>
    <w:rsid w:val="00570446"/>
    <w:rsid w:val="00572C3A"/>
    <w:rsid w:val="00580DE7"/>
    <w:rsid w:val="00582341"/>
    <w:rsid w:val="00587F20"/>
    <w:rsid w:val="00592E9A"/>
    <w:rsid w:val="005A18BF"/>
    <w:rsid w:val="005A35EF"/>
    <w:rsid w:val="005A6F57"/>
    <w:rsid w:val="005B6731"/>
    <w:rsid w:val="005C1000"/>
    <w:rsid w:val="005C145A"/>
    <w:rsid w:val="005C46BA"/>
    <w:rsid w:val="005D371C"/>
    <w:rsid w:val="005E2F0B"/>
    <w:rsid w:val="00604C6B"/>
    <w:rsid w:val="00607485"/>
    <w:rsid w:val="006322B8"/>
    <w:rsid w:val="00643561"/>
    <w:rsid w:val="006471F5"/>
    <w:rsid w:val="00653F37"/>
    <w:rsid w:val="00663DE7"/>
    <w:rsid w:val="00671182"/>
    <w:rsid w:val="00672CDF"/>
    <w:rsid w:val="00680B5F"/>
    <w:rsid w:val="00681E65"/>
    <w:rsid w:val="00683BD8"/>
    <w:rsid w:val="00686825"/>
    <w:rsid w:val="00696B84"/>
    <w:rsid w:val="006A339E"/>
    <w:rsid w:val="006D4054"/>
    <w:rsid w:val="006D711B"/>
    <w:rsid w:val="006D7E4A"/>
    <w:rsid w:val="006E2D7D"/>
    <w:rsid w:val="006F4A1C"/>
    <w:rsid w:val="00711BD4"/>
    <w:rsid w:val="00713DED"/>
    <w:rsid w:val="00724D07"/>
    <w:rsid w:val="00724DEF"/>
    <w:rsid w:val="00733210"/>
    <w:rsid w:val="007361E3"/>
    <w:rsid w:val="007526AC"/>
    <w:rsid w:val="007566B6"/>
    <w:rsid w:val="007569A5"/>
    <w:rsid w:val="00761FFD"/>
    <w:rsid w:val="00764FE9"/>
    <w:rsid w:val="0078798C"/>
    <w:rsid w:val="007970B2"/>
    <w:rsid w:val="007A27F3"/>
    <w:rsid w:val="007A647C"/>
    <w:rsid w:val="007A76CE"/>
    <w:rsid w:val="007B6BFF"/>
    <w:rsid w:val="007C3D37"/>
    <w:rsid w:val="007D548B"/>
    <w:rsid w:val="007D76BB"/>
    <w:rsid w:val="007E18A6"/>
    <w:rsid w:val="008074BF"/>
    <w:rsid w:val="008177A8"/>
    <w:rsid w:val="00845D6B"/>
    <w:rsid w:val="008543A8"/>
    <w:rsid w:val="00854689"/>
    <w:rsid w:val="0085649F"/>
    <w:rsid w:val="008704E6"/>
    <w:rsid w:val="0087408B"/>
    <w:rsid w:val="0088517C"/>
    <w:rsid w:val="00897888"/>
    <w:rsid w:val="008A37A6"/>
    <w:rsid w:val="008B2747"/>
    <w:rsid w:val="008C0CE5"/>
    <w:rsid w:val="008C2492"/>
    <w:rsid w:val="008C7253"/>
    <w:rsid w:val="008D3595"/>
    <w:rsid w:val="008D4BA3"/>
    <w:rsid w:val="008E7D17"/>
    <w:rsid w:val="008F6925"/>
    <w:rsid w:val="00901A2A"/>
    <w:rsid w:val="00901EA9"/>
    <w:rsid w:val="00904A8D"/>
    <w:rsid w:val="00912D0D"/>
    <w:rsid w:val="0095355D"/>
    <w:rsid w:val="0095398C"/>
    <w:rsid w:val="009554C6"/>
    <w:rsid w:val="009572E5"/>
    <w:rsid w:val="00957EC7"/>
    <w:rsid w:val="009650E1"/>
    <w:rsid w:val="009667C5"/>
    <w:rsid w:val="009667E9"/>
    <w:rsid w:val="00973896"/>
    <w:rsid w:val="00974BB9"/>
    <w:rsid w:val="00976028"/>
    <w:rsid w:val="009762DB"/>
    <w:rsid w:val="009771D4"/>
    <w:rsid w:val="00984B5A"/>
    <w:rsid w:val="009929BF"/>
    <w:rsid w:val="00994A67"/>
    <w:rsid w:val="009A1477"/>
    <w:rsid w:val="009A442E"/>
    <w:rsid w:val="009A5A5B"/>
    <w:rsid w:val="009B37FF"/>
    <w:rsid w:val="009B3DC1"/>
    <w:rsid w:val="009E4340"/>
    <w:rsid w:val="009F09E4"/>
    <w:rsid w:val="009F4D56"/>
    <w:rsid w:val="009F7BE8"/>
    <w:rsid w:val="00A112D7"/>
    <w:rsid w:val="00A26786"/>
    <w:rsid w:val="00A2692E"/>
    <w:rsid w:val="00A26B18"/>
    <w:rsid w:val="00A37025"/>
    <w:rsid w:val="00A66555"/>
    <w:rsid w:val="00A82255"/>
    <w:rsid w:val="00A87FA9"/>
    <w:rsid w:val="00A90509"/>
    <w:rsid w:val="00AA24F9"/>
    <w:rsid w:val="00AA6869"/>
    <w:rsid w:val="00AC6787"/>
    <w:rsid w:val="00AD34A6"/>
    <w:rsid w:val="00AD3C1F"/>
    <w:rsid w:val="00AD3F1E"/>
    <w:rsid w:val="00AF4704"/>
    <w:rsid w:val="00B104BE"/>
    <w:rsid w:val="00B176B0"/>
    <w:rsid w:val="00B31368"/>
    <w:rsid w:val="00B43AD2"/>
    <w:rsid w:val="00B534C0"/>
    <w:rsid w:val="00B546F6"/>
    <w:rsid w:val="00B56C5A"/>
    <w:rsid w:val="00B61DA8"/>
    <w:rsid w:val="00B762F5"/>
    <w:rsid w:val="00B85A87"/>
    <w:rsid w:val="00B941F8"/>
    <w:rsid w:val="00B943DC"/>
    <w:rsid w:val="00BA4EBA"/>
    <w:rsid w:val="00BB2686"/>
    <w:rsid w:val="00BB2FF0"/>
    <w:rsid w:val="00BB4E1A"/>
    <w:rsid w:val="00BC431A"/>
    <w:rsid w:val="00BC436B"/>
    <w:rsid w:val="00BC605B"/>
    <w:rsid w:val="00BC6C74"/>
    <w:rsid w:val="00BC7631"/>
    <w:rsid w:val="00BD2328"/>
    <w:rsid w:val="00BF0306"/>
    <w:rsid w:val="00C00F60"/>
    <w:rsid w:val="00C128EE"/>
    <w:rsid w:val="00C1519A"/>
    <w:rsid w:val="00C2019B"/>
    <w:rsid w:val="00C2334F"/>
    <w:rsid w:val="00C24871"/>
    <w:rsid w:val="00C25F0C"/>
    <w:rsid w:val="00C26836"/>
    <w:rsid w:val="00C27B0A"/>
    <w:rsid w:val="00C51C77"/>
    <w:rsid w:val="00C67F62"/>
    <w:rsid w:val="00C73472"/>
    <w:rsid w:val="00C738AA"/>
    <w:rsid w:val="00C871AB"/>
    <w:rsid w:val="00C9048B"/>
    <w:rsid w:val="00CA12E5"/>
    <w:rsid w:val="00CA1E66"/>
    <w:rsid w:val="00CC1850"/>
    <w:rsid w:val="00CE04AA"/>
    <w:rsid w:val="00CF028F"/>
    <w:rsid w:val="00CF272F"/>
    <w:rsid w:val="00D045CE"/>
    <w:rsid w:val="00D06244"/>
    <w:rsid w:val="00D105BA"/>
    <w:rsid w:val="00D112CE"/>
    <w:rsid w:val="00D1297D"/>
    <w:rsid w:val="00D13B47"/>
    <w:rsid w:val="00D30DF0"/>
    <w:rsid w:val="00D34CB4"/>
    <w:rsid w:val="00D37D47"/>
    <w:rsid w:val="00D46306"/>
    <w:rsid w:val="00D46748"/>
    <w:rsid w:val="00D56828"/>
    <w:rsid w:val="00D61E3B"/>
    <w:rsid w:val="00D779B7"/>
    <w:rsid w:val="00D82BA1"/>
    <w:rsid w:val="00D900DE"/>
    <w:rsid w:val="00D94D56"/>
    <w:rsid w:val="00DA5409"/>
    <w:rsid w:val="00DB287A"/>
    <w:rsid w:val="00DB5E20"/>
    <w:rsid w:val="00DC4649"/>
    <w:rsid w:val="00DD1476"/>
    <w:rsid w:val="00DE6FB8"/>
    <w:rsid w:val="00DF26E2"/>
    <w:rsid w:val="00DF7374"/>
    <w:rsid w:val="00DF7FB6"/>
    <w:rsid w:val="00E0736B"/>
    <w:rsid w:val="00E2270D"/>
    <w:rsid w:val="00E24221"/>
    <w:rsid w:val="00E3150F"/>
    <w:rsid w:val="00E332A8"/>
    <w:rsid w:val="00E34F17"/>
    <w:rsid w:val="00E36E2A"/>
    <w:rsid w:val="00E449D2"/>
    <w:rsid w:val="00E5034B"/>
    <w:rsid w:val="00E548B6"/>
    <w:rsid w:val="00E674DA"/>
    <w:rsid w:val="00E71027"/>
    <w:rsid w:val="00E8735D"/>
    <w:rsid w:val="00EA6779"/>
    <w:rsid w:val="00EB17F5"/>
    <w:rsid w:val="00EB1FA6"/>
    <w:rsid w:val="00EB4D93"/>
    <w:rsid w:val="00EC17FC"/>
    <w:rsid w:val="00ED58EA"/>
    <w:rsid w:val="00EE0770"/>
    <w:rsid w:val="00EE45A9"/>
    <w:rsid w:val="00EF11E0"/>
    <w:rsid w:val="00F12ABA"/>
    <w:rsid w:val="00F41D5A"/>
    <w:rsid w:val="00F4301A"/>
    <w:rsid w:val="00F44A44"/>
    <w:rsid w:val="00F44EA8"/>
    <w:rsid w:val="00F523E8"/>
    <w:rsid w:val="00F60F1C"/>
    <w:rsid w:val="00F65D9A"/>
    <w:rsid w:val="00F716DF"/>
    <w:rsid w:val="00F7235E"/>
    <w:rsid w:val="00FB0C79"/>
    <w:rsid w:val="00FD1901"/>
    <w:rsid w:val="00FE39E5"/>
    <w:rsid w:val="00FE51E2"/>
    <w:rsid w:val="00FE531C"/>
    <w:rsid w:val="00FF1CE9"/>
    <w:rsid w:val="00FF32FA"/>
    <w:rsid w:val="00FF6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740B0"/>
  <w15:docId w15:val="{83F04BF2-1507-48B3-B2FC-DD0FF716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7">
    <w:name w:val="heading 7"/>
    <w:basedOn w:val="Normal"/>
    <w:next w:val="Normal"/>
    <w:qFormat/>
    <w:pPr>
      <w:keepNext/>
      <w:numPr>
        <w:numId w:val="1"/>
      </w:numPr>
      <w:outlineLvl w:val="6"/>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character" w:styleId="Hyperlink">
    <w:name w:val="Hyperlink"/>
    <w:rPr>
      <w:color w:val="0000FF"/>
      <w:u w:val="single"/>
    </w:rPr>
  </w:style>
  <w:style w:type="paragraph" w:styleId="BodyText3">
    <w:name w:val="Body Text 3"/>
    <w:basedOn w:val="Normal"/>
    <w:rPr>
      <w:rFonts w:ascii="Arial" w:hAnsi="Arial"/>
      <w:b/>
      <w:bCs/>
      <w:szCs w:val="20"/>
    </w:rPr>
  </w:style>
  <w:style w:type="paragraph" w:styleId="BodyTextIndent3">
    <w:name w:val="Body Text Indent 3"/>
    <w:basedOn w:val="Normal"/>
    <w:pPr>
      <w:ind w:left="720"/>
    </w:pPr>
    <w:rPr>
      <w:rFonts w:ascii="Arial" w:hAnsi="Arial" w:cs="Arial"/>
      <w:sz w:val="22"/>
      <w:szCs w:val="20"/>
    </w:rPr>
  </w:style>
  <w:style w:type="paragraph" w:styleId="Title">
    <w:name w:val="Title"/>
    <w:basedOn w:val="Normal"/>
    <w:qFormat/>
    <w:pPr>
      <w:jc w:val="center"/>
    </w:pPr>
    <w:rPr>
      <w:b/>
      <w:bCs/>
      <w:u w:val="single"/>
    </w:rPr>
  </w:style>
  <w:style w:type="paragraph" w:styleId="Subtitle">
    <w:name w:val="Subtitle"/>
    <w:basedOn w:val="Normal"/>
    <w:qFormat/>
    <w:pPr>
      <w:jc w:val="center"/>
    </w:pPr>
    <w:rPr>
      <w:rFonts w:ascii="Arial" w:hAnsi="Arial" w:cs="Arial"/>
      <w:b/>
      <w:bCs/>
      <w:szCs w:val="20"/>
    </w:rPr>
  </w:style>
  <w:style w:type="paragraph" w:styleId="BodyText">
    <w:name w:val="Body Text"/>
    <w:basedOn w:val="Normal"/>
    <w:rsid w:val="00A26B18"/>
    <w:pPr>
      <w:spacing w:after="120"/>
    </w:pPr>
  </w:style>
  <w:style w:type="paragraph" w:styleId="Footer">
    <w:name w:val="footer"/>
    <w:basedOn w:val="Normal"/>
    <w:rsid w:val="00C26836"/>
    <w:pPr>
      <w:tabs>
        <w:tab w:val="center" w:pos="4153"/>
        <w:tab w:val="right" w:pos="8306"/>
      </w:tabs>
    </w:pPr>
  </w:style>
  <w:style w:type="character" w:styleId="PageNumber">
    <w:name w:val="page number"/>
    <w:basedOn w:val="DefaultParagraphFont"/>
    <w:rsid w:val="00C26836"/>
  </w:style>
  <w:style w:type="paragraph" w:styleId="ListParagraph">
    <w:name w:val="List Paragraph"/>
    <w:basedOn w:val="Normal"/>
    <w:uiPriority w:val="34"/>
    <w:qFormat/>
    <w:rsid w:val="00F65D9A"/>
    <w:pPr>
      <w:ind w:left="720"/>
    </w:pPr>
  </w:style>
  <w:style w:type="character" w:styleId="Emphasis">
    <w:name w:val="Emphasis"/>
    <w:uiPriority w:val="20"/>
    <w:qFormat/>
    <w:rsid w:val="00976028"/>
    <w:rPr>
      <w:i/>
      <w:iCs/>
    </w:rPr>
  </w:style>
  <w:style w:type="paragraph" w:styleId="BalloonText">
    <w:name w:val="Balloon Text"/>
    <w:basedOn w:val="Normal"/>
    <w:link w:val="BalloonTextChar"/>
    <w:rsid w:val="009929BF"/>
    <w:rPr>
      <w:rFonts w:ascii="Tahoma" w:hAnsi="Tahoma" w:cs="Tahoma"/>
      <w:sz w:val="16"/>
      <w:szCs w:val="16"/>
    </w:rPr>
  </w:style>
  <w:style w:type="character" w:customStyle="1" w:styleId="BalloonTextChar">
    <w:name w:val="Balloon Text Char"/>
    <w:basedOn w:val="DefaultParagraphFont"/>
    <w:link w:val="BalloonText"/>
    <w:rsid w:val="009929BF"/>
    <w:rPr>
      <w:rFonts w:ascii="Tahoma" w:hAnsi="Tahoma" w:cs="Tahoma"/>
      <w:sz w:val="16"/>
      <w:szCs w:val="16"/>
      <w:lang w:eastAsia="en-US"/>
    </w:rPr>
  </w:style>
  <w:style w:type="paragraph" w:styleId="Revision">
    <w:name w:val="Revision"/>
    <w:hidden/>
    <w:uiPriority w:val="99"/>
    <w:semiHidden/>
    <w:rsid w:val="007A647C"/>
    <w:rPr>
      <w:sz w:val="24"/>
      <w:szCs w:val="24"/>
      <w:lang w:eastAsia="en-US"/>
    </w:rPr>
  </w:style>
  <w:style w:type="table" w:customStyle="1" w:styleId="TableGrid2">
    <w:name w:val="Table Grid2"/>
    <w:basedOn w:val="TableNormal"/>
    <w:next w:val="TableGrid"/>
    <w:uiPriority w:val="39"/>
    <w:rsid w:val="002D49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D4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3399">
      <w:bodyDiv w:val="1"/>
      <w:marLeft w:val="0"/>
      <w:marRight w:val="0"/>
      <w:marTop w:val="0"/>
      <w:marBottom w:val="0"/>
      <w:divBdr>
        <w:top w:val="none" w:sz="0" w:space="0" w:color="auto"/>
        <w:left w:val="none" w:sz="0" w:space="0" w:color="auto"/>
        <w:bottom w:val="none" w:sz="0" w:space="0" w:color="auto"/>
        <w:right w:val="none" w:sz="0" w:space="0" w:color="auto"/>
      </w:divBdr>
    </w:div>
    <w:div w:id="287779069">
      <w:bodyDiv w:val="1"/>
      <w:marLeft w:val="0"/>
      <w:marRight w:val="0"/>
      <w:marTop w:val="0"/>
      <w:marBottom w:val="0"/>
      <w:divBdr>
        <w:top w:val="none" w:sz="0" w:space="0" w:color="auto"/>
        <w:left w:val="none" w:sz="0" w:space="0" w:color="auto"/>
        <w:bottom w:val="none" w:sz="0" w:space="0" w:color="auto"/>
        <w:right w:val="none" w:sz="0" w:space="0" w:color="auto"/>
      </w:divBdr>
    </w:div>
    <w:div w:id="424811781">
      <w:bodyDiv w:val="1"/>
      <w:marLeft w:val="0"/>
      <w:marRight w:val="0"/>
      <w:marTop w:val="0"/>
      <w:marBottom w:val="0"/>
      <w:divBdr>
        <w:top w:val="none" w:sz="0" w:space="0" w:color="auto"/>
        <w:left w:val="none" w:sz="0" w:space="0" w:color="auto"/>
        <w:bottom w:val="none" w:sz="0" w:space="0" w:color="auto"/>
        <w:right w:val="none" w:sz="0" w:space="0" w:color="auto"/>
      </w:divBdr>
    </w:div>
    <w:div w:id="443886653">
      <w:bodyDiv w:val="1"/>
      <w:marLeft w:val="0"/>
      <w:marRight w:val="0"/>
      <w:marTop w:val="0"/>
      <w:marBottom w:val="0"/>
      <w:divBdr>
        <w:top w:val="none" w:sz="0" w:space="0" w:color="auto"/>
        <w:left w:val="none" w:sz="0" w:space="0" w:color="auto"/>
        <w:bottom w:val="none" w:sz="0" w:space="0" w:color="auto"/>
        <w:right w:val="none" w:sz="0" w:space="0" w:color="auto"/>
      </w:divBdr>
    </w:div>
    <w:div w:id="572088048">
      <w:bodyDiv w:val="1"/>
      <w:marLeft w:val="0"/>
      <w:marRight w:val="0"/>
      <w:marTop w:val="0"/>
      <w:marBottom w:val="0"/>
      <w:divBdr>
        <w:top w:val="none" w:sz="0" w:space="0" w:color="auto"/>
        <w:left w:val="none" w:sz="0" w:space="0" w:color="auto"/>
        <w:bottom w:val="none" w:sz="0" w:space="0" w:color="auto"/>
        <w:right w:val="none" w:sz="0" w:space="0" w:color="auto"/>
      </w:divBdr>
    </w:div>
    <w:div w:id="607203364">
      <w:bodyDiv w:val="1"/>
      <w:marLeft w:val="0"/>
      <w:marRight w:val="0"/>
      <w:marTop w:val="0"/>
      <w:marBottom w:val="0"/>
      <w:divBdr>
        <w:top w:val="none" w:sz="0" w:space="0" w:color="auto"/>
        <w:left w:val="none" w:sz="0" w:space="0" w:color="auto"/>
        <w:bottom w:val="none" w:sz="0" w:space="0" w:color="auto"/>
        <w:right w:val="none" w:sz="0" w:space="0" w:color="auto"/>
      </w:divBdr>
    </w:div>
    <w:div w:id="782115038">
      <w:bodyDiv w:val="1"/>
      <w:marLeft w:val="0"/>
      <w:marRight w:val="0"/>
      <w:marTop w:val="0"/>
      <w:marBottom w:val="0"/>
      <w:divBdr>
        <w:top w:val="none" w:sz="0" w:space="0" w:color="auto"/>
        <w:left w:val="none" w:sz="0" w:space="0" w:color="auto"/>
        <w:bottom w:val="none" w:sz="0" w:space="0" w:color="auto"/>
        <w:right w:val="none" w:sz="0" w:space="0" w:color="auto"/>
      </w:divBdr>
    </w:div>
    <w:div w:id="849762879">
      <w:bodyDiv w:val="1"/>
      <w:marLeft w:val="0"/>
      <w:marRight w:val="0"/>
      <w:marTop w:val="0"/>
      <w:marBottom w:val="0"/>
      <w:divBdr>
        <w:top w:val="none" w:sz="0" w:space="0" w:color="auto"/>
        <w:left w:val="none" w:sz="0" w:space="0" w:color="auto"/>
        <w:bottom w:val="none" w:sz="0" w:space="0" w:color="auto"/>
        <w:right w:val="none" w:sz="0" w:space="0" w:color="auto"/>
      </w:divBdr>
    </w:div>
    <w:div w:id="932467897">
      <w:bodyDiv w:val="1"/>
      <w:marLeft w:val="0"/>
      <w:marRight w:val="0"/>
      <w:marTop w:val="0"/>
      <w:marBottom w:val="0"/>
      <w:divBdr>
        <w:top w:val="none" w:sz="0" w:space="0" w:color="auto"/>
        <w:left w:val="none" w:sz="0" w:space="0" w:color="auto"/>
        <w:bottom w:val="none" w:sz="0" w:space="0" w:color="auto"/>
        <w:right w:val="none" w:sz="0" w:space="0" w:color="auto"/>
      </w:divBdr>
    </w:div>
    <w:div w:id="937906924">
      <w:bodyDiv w:val="1"/>
      <w:marLeft w:val="0"/>
      <w:marRight w:val="0"/>
      <w:marTop w:val="0"/>
      <w:marBottom w:val="0"/>
      <w:divBdr>
        <w:top w:val="none" w:sz="0" w:space="0" w:color="auto"/>
        <w:left w:val="none" w:sz="0" w:space="0" w:color="auto"/>
        <w:bottom w:val="none" w:sz="0" w:space="0" w:color="auto"/>
        <w:right w:val="none" w:sz="0" w:space="0" w:color="auto"/>
      </w:divBdr>
    </w:div>
    <w:div w:id="979071459">
      <w:bodyDiv w:val="1"/>
      <w:marLeft w:val="0"/>
      <w:marRight w:val="0"/>
      <w:marTop w:val="0"/>
      <w:marBottom w:val="0"/>
      <w:divBdr>
        <w:top w:val="none" w:sz="0" w:space="0" w:color="auto"/>
        <w:left w:val="none" w:sz="0" w:space="0" w:color="auto"/>
        <w:bottom w:val="none" w:sz="0" w:space="0" w:color="auto"/>
        <w:right w:val="none" w:sz="0" w:space="0" w:color="auto"/>
      </w:divBdr>
    </w:div>
    <w:div w:id="1155072372">
      <w:bodyDiv w:val="1"/>
      <w:marLeft w:val="0"/>
      <w:marRight w:val="0"/>
      <w:marTop w:val="0"/>
      <w:marBottom w:val="0"/>
      <w:divBdr>
        <w:top w:val="none" w:sz="0" w:space="0" w:color="auto"/>
        <w:left w:val="none" w:sz="0" w:space="0" w:color="auto"/>
        <w:bottom w:val="none" w:sz="0" w:space="0" w:color="auto"/>
        <w:right w:val="none" w:sz="0" w:space="0" w:color="auto"/>
      </w:divBdr>
    </w:div>
    <w:div w:id="1413576954">
      <w:bodyDiv w:val="1"/>
      <w:marLeft w:val="0"/>
      <w:marRight w:val="0"/>
      <w:marTop w:val="0"/>
      <w:marBottom w:val="0"/>
      <w:divBdr>
        <w:top w:val="none" w:sz="0" w:space="0" w:color="auto"/>
        <w:left w:val="none" w:sz="0" w:space="0" w:color="auto"/>
        <w:bottom w:val="none" w:sz="0" w:space="0" w:color="auto"/>
        <w:right w:val="none" w:sz="0" w:space="0" w:color="auto"/>
      </w:divBdr>
    </w:div>
    <w:div w:id="1694527412">
      <w:bodyDiv w:val="1"/>
      <w:marLeft w:val="0"/>
      <w:marRight w:val="0"/>
      <w:marTop w:val="0"/>
      <w:marBottom w:val="0"/>
      <w:divBdr>
        <w:top w:val="none" w:sz="0" w:space="0" w:color="auto"/>
        <w:left w:val="none" w:sz="0" w:space="0" w:color="auto"/>
        <w:bottom w:val="none" w:sz="0" w:space="0" w:color="auto"/>
        <w:right w:val="none" w:sz="0" w:space="0" w:color="auto"/>
      </w:divBdr>
    </w:div>
    <w:div w:id="1913930128">
      <w:bodyDiv w:val="1"/>
      <w:marLeft w:val="0"/>
      <w:marRight w:val="0"/>
      <w:marTop w:val="0"/>
      <w:marBottom w:val="0"/>
      <w:divBdr>
        <w:top w:val="none" w:sz="0" w:space="0" w:color="auto"/>
        <w:left w:val="none" w:sz="0" w:space="0" w:color="auto"/>
        <w:bottom w:val="none" w:sz="0" w:space="0" w:color="auto"/>
        <w:right w:val="none" w:sz="0" w:space="0" w:color="auto"/>
      </w:divBdr>
    </w:div>
    <w:div w:id="1985623746">
      <w:bodyDiv w:val="1"/>
      <w:marLeft w:val="0"/>
      <w:marRight w:val="0"/>
      <w:marTop w:val="0"/>
      <w:marBottom w:val="0"/>
      <w:divBdr>
        <w:top w:val="none" w:sz="0" w:space="0" w:color="auto"/>
        <w:left w:val="none" w:sz="0" w:space="0" w:color="auto"/>
        <w:bottom w:val="none" w:sz="0" w:space="0" w:color="auto"/>
        <w:right w:val="none" w:sz="0" w:space="0" w:color="auto"/>
      </w:divBdr>
    </w:div>
    <w:div w:id="199972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rton.gov.uk"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roza.begum@merton.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5477D48D1A545B60DE1EB8B7EC9B5" ma:contentTypeVersion="2" ma:contentTypeDescription="Create a new document." ma:contentTypeScope="" ma:versionID="4bf5bbf923e8fc7c1eba8001dd83e004">
  <xsd:schema xmlns:xsd="http://www.w3.org/2001/XMLSchema" xmlns:xs="http://www.w3.org/2001/XMLSchema" xmlns:p="http://schemas.microsoft.com/office/2006/metadata/properties" xmlns:ns1="http://schemas.microsoft.com/sharepoint/v3" xmlns:ns2="c49e39d6-2772-42ad-9594-dea6681242dc" targetNamespace="http://schemas.microsoft.com/office/2006/metadata/properties" ma:root="true" ma:fieldsID="1ac79c710d2dd2b73da5333d7d4b5f45" ns1:_="" ns2:_="">
    <xsd:import namespace="http://schemas.microsoft.com/sharepoint/v3"/>
    <xsd:import namespace="c49e39d6-2772-42ad-9594-dea6681242d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1:WorkAdd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WorkAddress" ma:index="13" nillable="true" ma:displayName="Address" ma:internalName="WorkAddres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9e39d6-2772-42ad-9594-dea6681242d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orkAddress xmlns="http://schemas.microsoft.com/sharepoint/v3" xsi:nil="true"/>
    <PublishingExpirationDate xmlns="http://schemas.microsoft.com/sharepoint/v3" xsi:nil="true"/>
    <PublishingStartDate xmlns="http://schemas.microsoft.com/sharepoint/v3" xsi:nil="true"/>
    <_dlc_DocId xmlns="c49e39d6-2772-42ad-9594-dea6681242dc">34YSUFNX6FFV-1797567310-354</_dlc_DocId>
    <_dlc_DocIdUrl xmlns="c49e39d6-2772-42ad-9594-dea6681242dc">
      <Url>https://authoring.merton.gov.uk/_layouts/15/DocIdRedir.aspx?ID=34YSUFNX6FFV-1797567310-354</Url>
      <Description>34YSUFNX6FFV-1797567310-354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81AD307-5DEE-4407-9FFE-24EC4BA56066}"/>
</file>

<file path=customXml/itemProps2.xml><?xml version="1.0" encoding="utf-8"?>
<ds:datastoreItem xmlns:ds="http://schemas.openxmlformats.org/officeDocument/2006/customXml" ds:itemID="{61A0DF6A-5E37-4283-91AD-C92AD7216C5B}">
  <ds:schemaRefs>
    <ds:schemaRef ds:uri="http://purl.org/dc/dcmitype/"/>
    <ds:schemaRef ds:uri="http://schemas.microsoft.com/office/infopath/2007/PartnerControls"/>
    <ds:schemaRef ds:uri="http://purl.org/dc/elements/1.1/"/>
    <ds:schemaRef ds:uri="http://schemas.microsoft.com/office/2006/metadata/properties"/>
    <ds:schemaRef ds:uri="0d4b4d7c-ae3b-4969-b7a2-8b99caeeb1fa"/>
    <ds:schemaRef ds:uri="http://schemas.microsoft.com/office/2006/documentManagement/types"/>
    <ds:schemaRef ds:uri="f8e95602-bbbf-4055-9d41-c0505be6b2d2"/>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A053E11A-CF94-49E9-BFBA-193E4AFC980D}">
  <ds:schemaRefs>
    <ds:schemaRef ds:uri="http://schemas.microsoft.com/sharepoint/v3/contenttype/forms"/>
  </ds:schemaRefs>
</ds:datastoreItem>
</file>

<file path=customXml/itemProps4.xml><?xml version="1.0" encoding="utf-8"?>
<ds:datastoreItem xmlns:ds="http://schemas.openxmlformats.org/officeDocument/2006/customXml" ds:itemID="{7CB3CD14-CAA9-4DE4-AB13-AD71851BCBBE}">
  <ds:schemaRefs>
    <ds:schemaRef ds:uri="http://schemas.openxmlformats.org/officeDocument/2006/bibliography"/>
  </ds:schemaRefs>
</ds:datastoreItem>
</file>

<file path=customXml/itemProps5.xml><?xml version="1.0" encoding="utf-8"?>
<ds:datastoreItem xmlns:ds="http://schemas.openxmlformats.org/officeDocument/2006/customXml" ds:itemID="{BDFC5409-366A-4646-9B0B-D67EDD0C01F9}"/>
</file>

<file path=docProps/app.xml><?xml version="1.0" encoding="utf-8"?>
<Properties xmlns="http://schemas.openxmlformats.org/officeDocument/2006/extended-properties" xmlns:vt="http://schemas.openxmlformats.org/officeDocument/2006/docPropsVTypes">
  <Template>Normal</Template>
  <TotalTime>180</TotalTime>
  <Pages>6</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Schools Forum    October 16 2006</vt:lpstr>
    </vt:vector>
  </TitlesOfParts>
  <Company>LBM</Company>
  <LinksUpToDate>false</LinksUpToDate>
  <CharactersWithSpaces>10401</CharactersWithSpaces>
  <SharedDoc>false</SharedDoc>
  <HLinks>
    <vt:vector size="12" baseType="variant">
      <vt:variant>
        <vt:i4>6225995</vt:i4>
      </vt:variant>
      <vt:variant>
        <vt:i4>3</vt:i4>
      </vt:variant>
      <vt:variant>
        <vt:i4>0</vt:i4>
      </vt:variant>
      <vt:variant>
        <vt:i4>5</vt:i4>
      </vt:variant>
      <vt:variant>
        <vt:lpwstr>http://www.merton.gov.uk/</vt:lpwstr>
      </vt:variant>
      <vt:variant>
        <vt:lpwstr/>
      </vt:variant>
      <vt:variant>
        <vt:i4>5439590</vt:i4>
      </vt:variant>
      <vt:variant>
        <vt:i4>0</vt:i4>
      </vt:variant>
      <vt:variant>
        <vt:i4>0</vt:i4>
      </vt:variant>
      <vt:variant>
        <vt:i4>5</vt:i4>
      </vt:variant>
      <vt:variant>
        <vt:lpwstr>mailto:Zoe.Church@merton.gov.uk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 Church</dc:creator>
  <cp:lastModifiedBy>Feroza Begum</cp:lastModifiedBy>
  <cp:revision>23</cp:revision>
  <cp:lastPrinted>2020-03-02T14:48:00Z</cp:lastPrinted>
  <dcterms:created xsi:type="dcterms:W3CDTF">2020-06-01T15:14:00Z</dcterms:created>
  <dcterms:modified xsi:type="dcterms:W3CDTF">2020-06-12T12:00:00Z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0x010100E005477D48D1A545B60DE1EB8B7EC9B5</vt:lpwstr>
  </property>
  <property fmtid="{D5CDD505-2E9C-101B-9397-08002B2CF9AE}" pid="3" name="_dlc_DocIdItemGuid">
    <vt:lpwstr>e0783b68-5aa6-41f5-ab6b-1860417c3d7f</vt:lpwstr>
  </property>
</Properties>
</file>