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03182" w14:textId="77777777" w:rsidR="00904A8D" w:rsidRDefault="00904A8D">
      <w:pPr>
        <w:pStyle w:val="Header"/>
        <w:tabs>
          <w:tab w:val="clear" w:pos="4153"/>
          <w:tab w:val="clear" w:pos="8306"/>
        </w:tabs>
        <w:rPr>
          <w:rFonts w:ascii="Times New Roman" w:hAnsi="Times New Roman"/>
          <w:szCs w:val="24"/>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40"/>
        <w:gridCol w:w="2946"/>
      </w:tblGrid>
      <w:tr w:rsidR="00904A8D" w:rsidRPr="00420DD5" w14:paraId="6E614FF5" w14:textId="77777777">
        <w:trPr>
          <w:trHeight w:val="680"/>
        </w:trPr>
        <w:tc>
          <w:tcPr>
            <w:tcW w:w="6440" w:type="dxa"/>
          </w:tcPr>
          <w:p w14:paraId="25B822D1" w14:textId="77777777" w:rsidR="00904A8D" w:rsidRDefault="00904A8D">
            <w:pPr>
              <w:pStyle w:val="Header"/>
              <w:tabs>
                <w:tab w:val="clear" w:pos="4153"/>
                <w:tab w:val="clear" w:pos="8306"/>
              </w:tabs>
              <w:spacing w:after="120"/>
              <w:rPr>
                <w:b/>
                <w:sz w:val="32"/>
              </w:rPr>
            </w:pPr>
          </w:p>
          <w:p w14:paraId="241C768E" w14:textId="7303857E" w:rsidR="00904A8D" w:rsidRPr="00420DD5" w:rsidRDefault="009667E9" w:rsidP="00AD3F1E">
            <w:pPr>
              <w:pStyle w:val="Header"/>
              <w:tabs>
                <w:tab w:val="clear" w:pos="4153"/>
                <w:tab w:val="clear" w:pos="8306"/>
              </w:tabs>
              <w:spacing w:after="120"/>
              <w:rPr>
                <w:b/>
              </w:rPr>
            </w:pPr>
            <w:r w:rsidRPr="00420DD5">
              <w:rPr>
                <w:b/>
                <w:sz w:val="32"/>
              </w:rPr>
              <w:t xml:space="preserve">Schools Forum    </w:t>
            </w:r>
            <w:r w:rsidR="00C54632">
              <w:rPr>
                <w:b/>
                <w:sz w:val="32"/>
              </w:rPr>
              <w:t>28</w:t>
            </w:r>
            <w:r w:rsidR="00BF20A7">
              <w:rPr>
                <w:b/>
                <w:sz w:val="32"/>
              </w:rPr>
              <w:t>th September</w:t>
            </w:r>
            <w:r w:rsidR="00904A8D" w:rsidRPr="00420DD5">
              <w:rPr>
                <w:b/>
                <w:sz w:val="32"/>
              </w:rPr>
              <w:t xml:space="preserve"> 20</w:t>
            </w:r>
            <w:r w:rsidR="00154EB3">
              <w:rPr>
                <w:b/>
                <w:sz w:val="32"/>
              </w:rPr>
              <w:t>21</w:t>
            </w:r>
          </w:p>
        </w:tc>
        <w:tc>
          <w:tcPr>
            <w:tcW w:w="2946" w:type="dxa"/>
          </w:tcPr>
          <w:p w14:paraId="1B0F503A" w14:textId="6401E2D9" w:rsidR="00C54632" w:rsidRDefault="00904A8D" w:rsidP="00A87FA9">
            <w:pPr>
              <w:pStyle w:val="Header"/>
              <w:tabs>
                <w:tab w:val="clear" w:pos="4153"/>
                <w:tab w:val="clear" w:pos="8306"/>
              </w:tabs>
              <w:spacing w:before="120"/>
              <w:rPr>
                <w:sz w:val="40"/>
                <w:szCs w:val="40"/>
              </w:rPr>
            </w:pPr>
            <w:r w:rsidRPr="00420DD5">
              <w:t xml:space="preserve">Item </w:t>
            </w:r>
            <w:r w:rsidR="00DB5E20" w:rsidRPr="00420DD5">
              <w:rPr>
                <w:sz w:val="40"/>
                <w:szCs w:val="40"/>
              </w:rPr>
              <w:t xml:space="preserve">   </w:t>
            </w:r>
            <w:r w:rsidR="00DA5E36">
              <w:rPr>
                <w:sz w:val="40"/>
                <w:szCs w:val="40"/>
              </w:rPr>
              <w:t>5</w:t>
            </w:r>
          </w:p>
          <w:p w14:paraId="72FCFC20" w14:textId="2DFE97B9" w:rsidR="00904A8D" w:rsidRPr="00420DD5" w:rsidRDefault="00904A8D" w:rsidP="00A87FA9">
            <w:pPr>
              <w:pStyle w:val="Header"/>
              <w:tabs>
                <w:tab w:val="clear" w:pos="4153"/>
                <w:tab w:val="clear" w:pos="8306"/>
              </w:tabs>
              <w:spacing w:before="120"/>
              <w:rPr>
                <w:sz w:val="40"/>
                <w:szCs w:val="40"/>
              </w:rPr>
            </w:pPr>
          </w:p>
        </w:tc>
      </w:tr>
    </w:tbl>
    <w:p w14:paraId="26455F6B" w14:textId="77777777" w:rsidR="00904A8D" w:rsidRPr="00420DD5" w:rsidRDefault="00904A8D">
      <w:pPr>
        <w:pStyle w:val="Header"/>
        <w:tabs>
          <w:tab w:val="clear" w:pos="4153"/>
          <w:tab w:val="clear" w:pos="8306"/>
        </w:tabs>
        <w:jc w:val="right"/>
        <w:rPr>
          <w:highlight w:val="yellow"/>
        </w:rPr>
      </w:pPr>
    </w:p>
    <w:p w14:paraId="4DF3AC5A" w14:textId="77777777" w:rsidR="004953F4" w:rsidRDefault="00DB5E20">
      <w:pPr>
        <w:pStyle w:val="Header"/>
        <w:tabs>
          <w:tab w:val="clear" w:pos="4153"/>
          <w:tab w:val="clear" w:pos="8306"/>
        </w:tabs>
        <w:rPr>
          <w:b/>
        </w:rPr>
      </w:pPr>
      <w:r w:rsidRPr="00420DD5">
        <w:rPr>
          <w:b/>
        </w:rPr>
        <w:t xml:space="preserve">SUBJECT:  </w:t>
      </w:r>
      <w:r w:rsidR="00DA5E36">
        <w:rPr>
          <w:b/>
        </w:rPr>
        <w:t>D</w:t>
      </w:r>
      <w:r w:rsidR="004953F4">
        <w:rPr>
          <w:b/>
        </w:rPr>
        <w:t>epartment for Education (D</w:t>
      </w:r>
      <w:r w:rsidR="00DA5E36">
        <w:rPr>
          <w:b/>
        </w:rPr>
        <w:t>fE</w:t>
      </w:r>
      <w:r w:rsidR="004953F4">
        <w:rPr>
          <w:b/>
        </w:rPr>
        <w:t>)</w:t>
      </w:r>
      <w:r w:rsidR="00DA5E36">
        <w:rPr>
          <w:b/>
        </w:rPr>
        <w:t xml:space="preserve"> Consultation on the Fair School </w:t>
      </w:r>
    </w:p>
    <w:p w14:paraId="4E6A579F" w14:textId="2623E9AE" w:rsidR="00904A8D" w:rsidRPr="00420DD5" w:rsidRDefault="004953F4">
      <w:pPr>
        <w:pStyle w:val="Header"/>
        <w:tabs>
          <w:tab w:val="clear" w:pos="4153"/>
          <w:tab w:val="clear" w:pos="8306"/>
        </w:tabs>
      </w:pPr>
      <w:r>
        <w:rPr>
          <w:b/>
        </w:rPr>
        <w:t xml:space="preserve">                    </w:t>
      </w:r>
      <w:r w:rsidR="00DA5E36">
        <w:rPr>
          <w:b/>
        </w:rPr>
        <w:t>Funding for all.</w:t>
      </w:r>
    </w:p>
    <w:p w14:paraId="60B0611A" w14:textId="77777777" w:rsidR="00904A8D" w:rsidRPr="00420DD5" w:rsidRDefault="00904A8D">
      <w:pPr>
        <w:pStyle w:val="Header"/>
        <w:tabs>
          <w:tab w:val="clear" w:pos="4153"/>
          <w:tab w:val="clear" w:pos="8306"/>
        </w:tabs>
        <w:rPr>
          <w:b/>
        </w:rPr>
      </w:pPr>
    </w:p>
    <w:p w14:paraId="698A0353" w14:textId="25B76B9E" w:rsidR="00904A8D" w:rsidRPr="00420DD5" w:rsidRDefault="00904A8D">
      <w:pPr>
        <w:pStyle w:val="Header"/>
        <w:tabs>
          <w:tab w:val="clear" w:pos="4153"/>
          <w:tab w:val="clear" w:pos="8306"/>
        </w:tabs>
      </w:pPr>
      <w:r w:rsidRPr="00420DD5">
        <w:rPr>
          <w:b/>
        </w:rPr>
        <w:t xml:space="preserve">LEAD OFFICER: </w:t>
      </w:r>
      <w:r w:rsidR="00154EB3">
        <w:rPr>
          <w:b/>
        </w:rPr>
        <w:t>Pat Harvey</w:t>
      </w:r>
      <w:r w:rsidRPr="00420DD5">
        <w:rPr>
          <w:bCs/>
        </w:rPr>
        <w:t>,</w:t>
      </w:r>
      <w:r w:rsidRPr="00420DD5">
        <w:t xml:space="preserve"> </w:t>
      </w:r>
      <w:r w:rsidR="00F0466C">
        <w:t xml:space="preserve">Interim Principal Accountant, </w:t>
      </w:r>
      <w:r w:rsidRPr="00420DD5">
        <w:t>Children, Schools and Families Finance</w:t>
      </w:r>
    </w:p>
    <w:p w14:paraId="6EAE8208" w14:textId="77777777" w:rsidR="00904A8D" w:rsidRPr="00420DD5" w:rsidRDefault="00904A8D">
      <w:pPr>
        <w:pStyle w:val="Header"/>
        <w:tabs>
          <w:tab w:val="clear" w:pos="4153"/>
          <w:tab w:val="clear" w:pos="8306"/>
        </w:tabs>
        <w:rPr>
          <w:b/>
        </w:rPr>
      </w:pPr>
    </w:p>
    <w:p w14:paraId="37BF68EA" w14:textId="77777777" w:rsidR="00904A8D" w:rsidRPr="00420DD5" w:rsidRDefault="00904A8D">
      <w:pPr>
        <w:pStyle w:val="Header"/>
        <w:tabs>
          <w:tab w:val="clear" w:pos="4153"/>
          <w:tab w:val="clear" w:pos="8306"/>
        </w:tabs>
        <w:rPr>
          <w:b/>
          <w:sz w:val="28"/>
        </w:rPr>
      </w:pPr>
      <w:r w:rsidRPr="00420DD5">
        <w:rPr>
          <w:b/>
          <w:sz w:val="28"/>
        </w:rPr>
        <w:t xml:space="preserve">RECOMMENDATION </w:t>
      </w:r>
    </w:p>
    <w:p w14:paraId="4528A429" w14:textId="77777777" w:rsidR="00904A8D" w:rsidRPr="00420DD5" w:rsidRDefault="00904A8D">
      <w:pPr>
        <w:pStyle w:val="Header"/>
        <w:tabs>
          <w:tab w:val="clear" w:pos="4153"/>
          <w:tab w:val="clear" w:pos="8306"/>
        </w:tabs>
        <w:rPr>
          <w:b/>
        </w:rPr>
      </w:pPr>
    </w:p>
    <w:p w14:paraId="432E99DA" w14:textId="77777777" w:rsidR="00DB5E20" w:rsidRPr="00420DD5" w:rsidRDefault="00904A8D">
      <w:pPr>
        <w:pStyle w:val="Header"/>
        <w:tabs>
          <w:tab w:val="clear" w:pos="4153"/>
          <w:tab w:val="clear" w:pos="8306"/>
        </w:tabs>
        <w:ind w:left="360"/>
        <w:rPr>
          <w:b/>
        </w:rPr>
      </w:pPr>
      <w:r w:rsidRPr="00420DD5">
        <w:rPr>
          <w:b/>
        </w:rPr>
        <w:t>That the Forum</w:t>
      </w:r>
      <w:r w:rsidR="00DB5E20" w:rsidRPr="00420DD5">
        <w:rPr>
          <w:b/>
        </w:rPr>
        <w:t>:</w:t>
      </w:r>
    </w:p>
    <w:p w14:paraId="6DD11BAE" w14:textId="77777777" w:rsidR="00DB5E20" w:rsidRPr="00420DD5" w:rsidRDefault="00DB5E20" w:rsidP="00DB5E20">
      <w:pPr>
        <w:pStyle w:val="Header"/>
        <w:tabs>
          <w:tab w:val="clear" w:pos="4153"/>
          <w:tab w:val="clear" w:pos="8306"/>
        </w:tabs>
        <w:rPr>
          <w:b/>
        </w:rPr>
      </w:pPr>
    </w:p>
    <w:p w14:paraId="0A1FDA1A" w14:textId="7A3729DF" w:rsidR="00AD3F1E" w:rsidRDefault="00AD3F1E" w:rsidP="00DB5E20">
      <w:pPr>
        <w:pStyle w:val="Header"/>
        <w:numPr>
          <w:ilvl w:val="0"/>
          <w:numId w:val="4"/>
        </w:numPr>
        <w:tabs>
          <w:tab w:val="clear" w:pos="4153"/>
          <w:tab w:val="clear" w:pos="8306"/>
        </w:tabs>
        <w:rPr>
          <w:b/>
        </w:rPr>
      </w:pPr>
      <w:r w:rsidRPr="00420DD5">
        <w:rPr>
          <w:b/>
        </w:rPr>
        <w:t xml:space="preserve">Notes the </w:t>
      </w:r>
      <w:r w:rsidR="00DA5E36">
        <w:rPr>
          <w:b/>
        </w:rPr>
        <w:t xml:space="preserve">recent DfE </w:t>
      </w:r>
      <w:r w:rsidR="006B1374">
        <w:rPr>
          <w:b/>
        </w:rPr>
        <w:t>C</w:t>
      </w:r>
      <w:r w:rsidR="00DA5E36">
        <w:rPr>
          <w:b/>
        </w:rPr>
        <w:t>onsultation</w:t>
      </w:r>
      <w:r w:rsidR="006B1374">
        <w:rPr>
          <w:b/>
        </w:rPr>
        <w:t xml:space="preserve"> and closing date </w:t>
      </w:r>
      <w:r w:rsidR="004F608F">
        <w:rPr>
          <w:b/>
        </w:rPr>
        <w:t xml:space="preserve">of </w:t>
      </w:r>
      <w:r w:rsidR="006B1374">
        <w:rPr>
          <w:b/>
        </w:rPr>
        <w:t>30 September 2021 at 11.45pm.</w:t>
      </w:r>
    </w:p>
    <w:p w14:paraId="1995E9B8" w14:textId="70DD2BD9" w:rsidR="00904B01" w:rsidRPr="00420DD5" w:rsidRDefault="00C54632" w:rsidP="00DB5E20">
      <w:pPr>
        <w:pStyle w:val="Header"/>
        <w:numPr>
          <w:ilvl w:val="0"/>
          <w:numId w:val="4"/>
        </w:numPr>
        <w:tabs>
          <w:tab w:val="clear" w:pos="4153"/>
          <w:tab w:val="clear" w:pos="8306"/>
        </w:tabs>
        <w:rPr>
          <w:b/>
        </w:rPr>
      </w:pPr>
      <w:r>
        <w:rPr>
          <w:b/>
        </w:rPr>
        <w:t>Comments on the recent publication</w:t>
      </w:r>
      <w:r w:rsidR="006B1374">
        <w:rPr>
          <w:b/>
        </w:rPr>
        <w:t>.</w:t>
      </w:r>
    </w:p>
    <w:p w14:paraId="02FEBC8A" w14:textId="77777777" w:rsidR="00420DD5" w:rsidRPr="00420DD5" w:rsidRDefault="00420DD5" w:rsidP="00420DD5">
      <w:pPr>
        <w:pStyle w:val="Header"/>
        <w:tabs>
          <w:tab w:val="clear" w:pos="4153"/>
          <w:tab w:val="clear" w:pos="8306"/>
        </w:tabs>
        <w:ind w:left="720"/>
        <w:rPr>
          <w:b/>
        </w:rPr>
      </w:pPr>
    </w:p>
    <w:p w14:paraId="18F6B12B" w14:textId="77777777" w:rsidR="00904A8D" w:rsidRPr="00420DD5" w:rsidRDefault="00904A8D">
      <w:pPr>
        <w:pStyle w:val="Header"/>
        <w:tabs>
          <w:tab w:val="clear" w:pos="4153"/>
          <w:tab w:val="clear" w:pos="8306"/>
        </w:tabs>
        <w:rPr>
          <w:b/>
        </w:rPr>
      </w:pPr>
    </w:p>
    <w:p w14:paraId="4AF78246" w14:textId="77777777" w:rsidR="00904A8D" w:rsidRPr="00420DD5" w:rsidRDefault="00904A8D">
      <w:pPr>
        <w:pStyle w:val="Header"/>
        <w:numPr>
          <w:ilvl w:val="0"/>
          <w:numId w:val="3"/>
        </w:numPr>
        <w:tabs>
          <w:tab w:val="clear" w:pos="360"/>
          <w:tab w:val="clear" w:pos="4153"/>
          <w:tab w:val="clear" w:pos="8306"/>
        </w:tabs>
        <w:ind w:left="720" w:hanging="720"/>
        <w:rPr>
          <w:b/>
          <w:sz w:val="28"/>
        </w:rPr>
      </w:pPr>
      <w:r w:rsidRPr="00420DD5">
        <w:rPr>
          <w:b/>
          <w:sz w:val="28"/>
        </w:rPr>
        <w:t>Purpose of report and executive summary</w:t>
      </w:r>
    </w:p>
    <w:p w14:paraId="144DA555" w14:textId="77777777" w:rsidR="00904A8D" w:rsidRPr="00C54632" w:rsidRDefault="00904A8D">
      <w:pPr>
        <w:pStyle w:val="Header"/>
        <w:tabs>
          <w:tab w:val="clear" w:pos="4153"/>
          <w:tab w:val="clear" w:pos="8306"/>
        </w:tabs>
        <w:rPr>
          <w:b/>
          <w:szCs w:val="24"/>
          <w:highlight w:val="yellow"/>
        </w:rPr>
      </w:pPr>
    </w:p>
    <w:p w14:paraId="1725D4BC" w14:textId="1826D2F1" w:rsidR="006A6E83" w:rsidRPr="006A6E83" w:rsidRDefault="00C54632" w:rsidP="004F608F">
      <w:pPr>
        <w:pStyle w:val="NoSpacing"/>
        <w:numPr>
          <w:ilvl w:val="1"/>
          <w:numId w:val="15"/>
        </w:numPr>
        <w:ind w:right="-46" w:hanging="712"/>
        <w:jc w:val="both"/>
        <w:rPr>
          <w:sz w:val="24"/>
          <w:szCs w:val="24"/>
        </w:rPr>
      </w:pPr>
      <w:r w:rsidRPr="004953F4">
        <w:rPr>
          <w:rFonts w:ascii="Arial" w:hAnsi="Arial" w:cs="Arial"/>
          <w:sz w:val="24"/>
          <w:szCs w:val="24"/>
        </w:rPr>
        <w:t>The Department for</w:t>
      </w:r>
      <w:r w:rsidR="00DA5E36" w:rsidRPr="004953F4">
        <w:rPr>
          <w:rFonts w:ascii="Arial" w:hAnsi="Arial" w:cs="Arial"/>
          <w:sz w:val="24"/>
          <w:szCs w:val="24"/>
        </w:rPr>
        <w:t xml:space="preserve"> Education (DfE) published on 8</w:t>
      </w:r>
      <w:r w:rsidRPr="004953F4">
        <w:rPr>
          <w:rFonts w:ascii="Arial" w:hAnsi="Arial" w:cs="Arial"/>
          <w:sz w:val="24"/>
          <w:szCs w:val="24"/>
        </w:rPr>
        <w:t xml:space="preserve"> July </w:t>
      </w:r>
      <w:r w:rsidR="009A40A9" w:rsidRPr="004953F4">
        <w:rPr>
          <w:rFonts w:ascii="Arial" w:hAnsi="Arial" w:cs="Arial"/>
          <w:sz w:val="24"/>
          <w:szCs w:val="24"/>
        </w:rPr>
        <w:t>a</w:t>
      </w:r>
      <w:r w:rsidR="004953F4" w:rsidRPr="004953F4">
        <w:rPr>
          <w:rFonts w:ascii="Arial" w:hAnsi="Arial" w:cs="Arial"/>
          <w:sz w:val="24"/>
          <w:szCs w:val="24"/>
        </w:rPr>
        <w:t xml:space="preserve"> consultation exercise,</w:t>
      </w:r>
      <w:r w:rsidR="005847C2" w:rsidRPr="004953F4">
        <w:rPr>
          <w:rFonts w:ascii="Arial" w:hAnsi="Arial" w:cs="Arial"/>
          <w:sz w:val="24"/>
          <w:szCs w:val="24"/>
        </w:rPr>
        <w:t xml:space="preserve"> </w:t>
      </w:r>
      <w:r w:rsidR="004953F4" w:rsidRPr="004953F4">
        <w:rPr>
          <w:rFonts w:ascii="Arial" w:hAnsi="Arial" w:cs="Arial"/>
          <w:sz w:val="24"/>
          <w:szCs w:val="24"/>
        </w:rPr>
        <w:t xml:space="preserve">seeking views on the approach to completing the reforms to the National Funding Formula (NFF) and how </w:t>
      </w:r>
      <w:r w:rsidR="004953F4">
        <w:rPr>
          <w:rFonts w:ascii="Arial" w:hAnsi="Arial" w:cs="Arial"/>
          <w:sz w:val="24"/>
          <w:szCs w:val="24"/>
        </w:rPr>
        <w:t xml:space="preserve">to move </w:t>
      </w:r>
      <w:r w:rsidR="004953F4" w:rsidRPr="004953F4">
        <w:rPr>
          <w:rFonts w:ascii="Arial" w:hAnsi="Arial" w:cs="Arial"/>
          <w:sz w:val="24"/>
          <w:szCs w:val="24"/>
        </w:rPr>
        <w:t xml:space="preserve">away from local formulae </w:t>
      </w:r>
      <w:r w:rsidR="004953F4">
        <w:rPr>
          <w:rFonts w:ascii="Arial" w:hAnsi="Arial" w:cs="Arial"/>
          <w:sz w:val="24"/>
          <w:szCs w:val="24"/>
        </w:rPr>
        <w:t>(soft formula)</w:t>
      </w:r>
      <w:r w:rsidR="004953F4" w:rsidRPr="004953F4">
        <w:rPr>
          <w:rFonts w:ascii="Arial" w:hAnsi="Arial" w:cs="Arial"/>
          <w:sz w:val="24"/>
          <w:szCs w:val="24"/>
        </w:rPr>
        <w:t xml:space="preserve"> </w:t>
      </w:r>
      <w:r w:rsidR="004953F4">
        <w:rPr>
          <w:rFonts w:ascii="Arial" w:hAnsi="Arial" w:cs="Arial"/>
          <w:sz w:val="24"/>
          <w:szCs w:val="24"/>
        </w:rPr>
        <w:t>f</w:t>
      </w:r>
      <w:r w:rsidR="004953F4" w:rsidRPr="004953F4">
        <w:rPr>
          <w:rFonts w:ascii="Arial" w:hAnsi="Arial" w:cs="Arial"/>
          <w:sz w:val="24"/>
          <w:szCs w:val="24"/>
        </w:rPr>
        <w:t>o</w:t>
      </w:r>
      <w:r w:rsidR="004953F4">
        <w:rPr>
          <w:rFonts w:ascii="Arial" w:hAnsi="Arial" w:cs="Arial"/>
          <w:sz w:val="24"/>
          <w:szCs w:val="24"/>
        </w:rPr>
        <w:t>r</w:t>
      </w:r>
      <w:r w:rsidR="004953F4" w:rsidRPr="004953F4">
        <w:rPr>
          <w:rFonts w:ascii="Arial" w:hAnsi="Arial" w:cs="Arial"/>
          <w:sz w:val="24"/>
          <w:szCs w:val="24"/>
        </w:rPr>
        <w:t xml:space="preserve"> all schools’ funding allocations </w:t>
      </w:r>
      <w:r w:rsidR="004953F4">
        <w:rPr>
          <w:rFonts w:ascii="Arial" w:hAnsi="Arial" w:cs="Arial"/>
          <w:sz w:val="24"/>
          <w:szCs w:val="24"/>
        </w:rPr>
        <w:t>to</w:t>
      </w:r>
      <w:r w:rsidR="004953F4" w:rsidRPr="004953F4">
        <w:rPr>
          <w:rFonts w:ascii="Arial" w:hAnsi="Arial" w:cs="Arial"/>
          <w:sz w:val="24"/>
          <w:szCs w:val="24"/>
        </w:rPr>
        <w:t xml:space="preserve"> the NFF </w:t>
      </w:r>
      <w:r w:rsidR="004953F4">
        <w:rPr>
          <w:rFonts w:ascii="Arial" w:hAnsi="Arial" w:cs="Arial"/>
          <w:sz w:val="24"/>
          <w:szCs w:val="24"/>
        </w:rPr>
        <w:t xml:space="preserve">(hard formula) </w:t>
      </w:r>
      <w:r w:rsidR="004953F4" w:rsidRPr="004953F4">
        <w:rPr>
          <w:rFonts w:ascii="Arial" w:hAnsi="Arial" w:cs="Arial"/>
          <w:sz w:val="24"/>
          <w:szCs w:val="24"/>
        </w:rPr>
        <w:t xml:space="preserve">in the years ahead. </w:t>
      </w:r>
    </w:p>
    <w:p w14:paraId="24772EE2" w14:textId="77777777" w:rsidR="006A6E83" w:rsidRPr="006A6E83" w:rsidRDefault="006A6E83" w:rsidP="006A6E83">
      <w:pPr>
        <w:pStyle w:val="NoSpacing"/>
        <w:ind w:left="712" w:right="-46"/>
        <w:jc w:val="both"/>
        <w:rPr>
          <w:sz w:val="24"/>
          <w:szCs w:val="24"/>
        </w:rPr>
      </w:pPr>
    </w:p>
    <w:p w14:paraId="29547EF8" w14:textId="602C1B72" w:rsidR="00C54632" w:rsidRDefault="004953F4" w:rsidP="004F608F">
      <w:pPr>
        <w:pStyle w:val="NoSpacing"/>
        <w:numPr>
          <w:ilvl w:val="1"/>
          <w:numId w:val="15"/>
        </w:numPr>
        <w:ind w:right="-46" w:hanging="712"/>
        <w:jc w:val="both"/>
        <w:rPr>
          <w:sz w:val="24"/>
          <w:szCs w:val="24"/>
        </w:rPr>
      </w:pPr>
      <w:r>
        <w:rPr>
          <w:rFonts w:ascii="Arial" w:hAnsi="Arial" w:cs="Arial"/>
          <w:sz w:val="24"/>
          <w:szCs w:val="24"/>
        </w:rPr>
        <w:t xml:space="preserve">The link and details of how to respond </w:t>
      </w:r>
      <w:r w:rsidR="00C54632" w:rsidRPr="004953F4">
        <w:rPr>
          <w:rFonts w:ascii="Arial" w:hAnsi="Arial" w:cs="Arial"/>
          <w:sz w:val="24"/>
          <w:szCs w:val="24"/>
        </w:rPr>
        <w:t>can be found</w:t>
      </w:r>
      <w:r w:rsidR="00C54632" w:rsidRPr="00DA5E36">
        <w:rPr>
          <w:rFonts w:ascii="Arial" w:hAnsi="Arial" w:cs="Arial"/>
          <w:sz w:val="24"/>
          <w:szCs w:val="24"/>
        </w:rPr>
        <w:t xml:space="preserve"> </w:t>
      </w:r>
      <w:r w:rsidR="00DA5E36" w:rsidRPr="00DA5E36">
        <w:rPr>
          <w:sz w:val="24"/>
          <w:szCs w:val="24"/>
        </w:rPr>
        <w:t xml:space="preserve"> </w:t>
      </w:r>
      <w:hyperlink r:id="rId11" w:history="1">
        <w:r w:rsidR="00DA5E36" w:rsidRPr="00DA5E36">
          <w:rPr>
            <w:rFonts w:ascii="Times New Roman" w:eastAsia="Times New Roman" w:hAnsi="Times New Roman"/>
            <w:color w:val="0000FF"/>
            <w:sz w:val="24"/>
            <w:szCs w:val="24"/>
            <w:u w:val="single"/>
          </w:rPr>
          <w:t>Fair school funding for all: completing our reforms to the National</w:t>
        </w:r>
        <w:r w:rsidR="00DA5E36" w:rsidRPr="00DA5E36">
          <w:rPr>
            <w:rFonts w:ascii="Times New Roman" w:eastAsia="Times New Roman" w:hAnsi="Times New Roman"/>
            <w:color w:val="0000FF"/>
            <w:sz w:val="24"/>
            <w:szCs w:val="24"/>
            <w:u w:val="single"/>
          </w:rPr>
          <w:t xml:space="preserve"> Funding Formula - Department for Education - Citizen Space</w:t>
        </w:r>
      </w:hyperlink>
    </w:p>
    <w:p w14:paraId="43958C0D" w14:textId="77777777" w:rsidR="00DA5E36" w:rsidRPr="00DA5E36" w:rsidRDefault="00DA5E36" w:rsidP="00DA5E36">
      <w:pPr>
        <w:pStyle w:val="NoSpacing"/>
        <w:ind w:left="712" w:right="-46"/>
        <w:jc w:val="both"/>
        <w:rPr>
          <w:sz w:val="24"/>
          <w:szCs w:val="24"/>
        </w:rPr>
      </w:pPr>
    </w:p>
    <w:p w14:paraId="5A97B514" w14:textId="4F756115" w:rsidR="00904A8D" w:rsidRPr="006B1374" w:rsidRDefault="006B1374" w:rsidP="00CA1E66">
      <w:pPr>
        <w:pStyle w:val="Header"/>
        <w:numPr>
          <w:ilvl w:val="0"/>
          <w:numId w:val="2"/>
        </w:numPr>
        <w:tabs>
          <w:tab w:val="clear" w:pos="720"/>
          <w:tab w:val="clear" w:pos="4153"/>
          <w:tab w:val="clear" w:pos="8306"/>
        </w:tabs>
        <w:ind w:hanging="720"/>
        <w:jc w:val="both"/>
        <w:rPr>
          <w:b/>
          <w:szCs w:val="24"/>
        </w:rPr>
      </w:pPr>
      <w:r>
        <w:rPr>
          <w:b/>
          <w:sz w:val="28"/>
        </w:rPr>
        <w:t xml:space="preserve">Consultation </w:t>
      </w:r>
      <w:r w:rsidR="00C54632">
        <w:rPr>
          <w:b/>
          <w:sz w:val="28"/>
        </w:rPr>
        <w:t xml:space="preserve"> </w:t>
      </w:r>
      <w:r w:rsidR="00406709">
        <w:rPr>
          <w:b/>
          <w:sz w:val="28"/>
        </w:rPr>
        <w:t xml:space="preserve"> </w:t>
      </w:r>
    </w:p>
    <w:p w14:paraId="090AB7B4" w14:textId="77777777" w:rsidR="00D61E3B" w:rsidRPr="006B1374" w:rsidRDefault="00D61E3B" w:rsidP="00CA1E66">
      <w:pPr>
        <w:pStyle w:val="Header"/>
        <w:tabs>
          <w:tab w:val="clear" w:pos="4153"/>
          <w:tab w:val="clear" w:pos="8306"/>
        </w:tabs>
        <w:jc w:val="both"/>
        <w:rPr>
          <w:b/>
          <w:szCs w:val="24"/>
          <w:highlight w:val="yellow"/>
        </w:rPr>
      </w:pPr>
    </w:p>
    <w:p w14:paraId="126D411E" w14:textId="090B59FC" w:rsidR="006B1374" w:rsidRPr="00546E1F" w:rsidRDefault="006B1374" w:rsidP="00A36A30">
      <w:pPr>
        <w:pStyle w:val="ListParagraph"/>
        <w:numPr>
          <w:ilvl w:val="1"/>
          <w:numId w:val="2"/>
        </w:numPr>
        <w:ind w:hanging="720"/>
        <w:jc w:val="both"/>
        <w:rPr>
          <w:b/>
        </w:rPr>
      </w:pPr>
      <w:r w:rsidRPr="006B1374">
        <w:rPr>
          <w:rFonts w:ascii="Arial" w:hAnsi="Arial" w:cs="Arial"/>
        </w:rPr>
        <w:t xml:space="preserve">The consultation consists of 16 </w:t>
      </w:r>
      <w:r w:rsidR="00546E1F">
        <w:rPr>
          <w:rFonts w:ascii="Arial" w:hAnsi="Arial" w:cs="Arial"/>
        </w:rPr>
        <w:t xml:space="preserve">direct </w:t>
      </w:r>
      <w:r w:rsidRPr="006B1374">
        <w:rPr>
          <w:rFonts w:ascii="Arial" w:hAnsi="Arial" w:cs="Arial"/>
        </w:rPr>
        <w:t xml:space="preserve">questions and a draft response is attached as Annex 1.  </w:t>
      </w:r>
      <w:r w:rsidR="00546E1F">
        <w:rPr>
          <w:rFonts w:ascii="Arial" w:hAnsi="Arial" w:cs="Arial"/>
        </w:rPr>
        <w:t>Areas addressed in the consultation are:</w:t>
      </w:r>
    </w:p>
    <w:p w14:paraId="6C680657" w14:textId="5F01D240" w:rsidR="00546E1F" w:rsidRDefault="00546E1F" w:rsidP="00546E1F">
      <w:pPr>
        <w:pStyle w:val="ListParagraph"/>
        <w:jc w:val="both"/>
        <w:rPr>
          <w:b/>
        </w:rPr>
      </w:pPr>
    </w:p>
    <w:p w14:paraId="63EBCA86" w14:textId="579334F7" w:rsidR="00546E1F" w:rsidRPr="00546E1F" w:rsidRDefault="00546E1F" w:rsidP="00546E1F">
      <w:pPr>
        <w:pStyle w:val="ListParagraph"/>
        <w:numPr>
          <w:ilvl w:val="0"/>
          <w:numId w:val="22"/>
        </w:numPr>
        <w:jc w:val="both"/>
        <w:rPr>
          <w:rFonts w:ascii="Arial" w:hAnsi="Arial" w:cs="Arial"/>
        </w:rPr>
      </w:pPr>
      <w:r w:rsidRPr="00546E1F">
        <w:rPr>
          <w:rFonts w:ascii="Arial" w:hAnsi="Arial" w:cs="Arial"/>
        </w:rPr>
        <w:t>The scope of the end state of NFF</w:t>
      </w:r>
    </w:p>
    <w:p w14:paraId="4563BFB2" w14:textId="740AB954" w:rsidR="00546E1F" w:rsidRPr="00546E1F" w:rsidRDefault="00546E1F" w:rsidP="00546E1F">
      <w:pPr>
        <w:pStyle w:val="ListParagraph"/>
        <w:numPr>
          <w:ilvl w:val="0"/>
          <w:numId w:val="22"/>
        </w:numPr>
        <w:jc w:val="both"/>
        <w:rPr>
          <w:rFonts w:ascii="Arial" w:hAnsi="Arial" w:cs="Arial"/>
        </w:rPr>
      </w:pPr>
      <w:r w:rsidRPr="00546E1F">
        <w:rPr>
          <w:rFonts w:ascii="Arial" w:hAnsi="Arial" w:cs="Arial"/>
        </w:rPr>
        <w:t>Developing the schools NFF to support the end state NFF</w:t>
      </w:r>
    </w:p>
    <w:p w14:paraId="5A74D109" w14:textId="57B0492F" w:rsidR="00546E1F" w:rsidRDefault="00546E1F" w:rsidP="00546E1F">
      <w:pPr>
        <w:pStyle w:val="ListParagraph"/>
        <w:numPr>
          <w:ilvl w:val="0"/>
          <w:numId w:val="22"/>
        </w:numPr>
        <w:jc w:val="both"/>
        <w:rPr>
          <w:rFonts w:ascii="Arial" w:hAnsi="Arial" w:cs="Arial"/>
        </w:rPr>
      </w:pPr>
      <w:r w:rsidRPr="00546E1F">
        <w:rPr>
          <w:rFonts w:ascii="Arial" w:hAnsi="Arial" w:cs="Arial"/>
        </w:rPr>
        <w:t>Growth and falling rolls funding</w:t>
      </w:r>
    </w:p>
    <w:p w14:paraId="20F47468" w14:textId="03B63939" w:rsidR="00546E1F" w:rsidRDefault="00546E1F" w:rsidP="00546E1F">
      <w:pPr>
        <w:pStyle w:val="ListParagraph"/>
        <w:numPr>
          <w:ilvl w:val="0"/>
          <w:numId w:val="22"/>
        </w:numPr>
        <w:jc w:val="both"/>
        <w:rPr>
          <w:rFonts w:ascii="Arial" w:hAnsi="Arial" w:cs="Arial"/>
        </w:rPr>
      </w:pPr>
      <w:r>
        <w:rPr>
          <w:rFonts w:ascii="Arial" w:hAnsi="Arial" w:cs="Arial"/>
        </w:rPr>
        <w:t>Next steps for the transition to the end state NFF for schools</w:t>
      </w:r>
    </w:p>
    <w:p w14:paraId="4540D459" w14:textId="77777777" w:rsidR="00546E1F" w:rsidRPr="00546E1F" w:rsidRDefault="00546E1F" w:rsidP="00546E1F">
      <w:pPr>
        <w:pStyle w:val="ListParagraph"/>
        <w:numPr>
          <w:ilvl w:val="0"/>
          <w:numId w:val="22"/>
        </w:numPr>
        <w:jc w:val="both"/>
        <w:rPr>
          <w:rFonts w:ascii="Arial" w:hAnsi="Arial" w:cs="Arial"/>
        </w:rPr>
      </w:pPr>
      <w:r w:rsidRPr="00546E1F">
        <w:rPr>
          <w:rFonts w:ascii="Arial" w:hAnsi="Arial" w:cs="Arial"/>
        </w:rPr>
        <w:t>Central school services</w:t>
      </w:r>
    </w:p>
    <w:p w14:paraId="631F3B5D" w14:textId="77777777" w:rsidR="00546E1F" w:rsidRPr="00546E1F" w:rsidRDefault="00546E1F" w:rsidP="00546E1F">
      <w:pPr>
        <w:pStyle w:val="ListParagraph"/>
        <w:numPr>
          <w:ilvl w:val="0"/>
          <w:numId w:val="22"/>
        </w:numPr>
        <w:jc w:val="both"/>
        <w:rPr>
          <w:rFonts w:ascii="Arial" w:hAnsi="Arial" w:cs="Arial"/>
        </w:rPr>
      </w:pPr>
      <w:r w:rsidRPr="00546E1F">
        <w:rPr>
          <w:rFonts w:ascii="Arial" w:hAnsi="Arial" w:cs="Arial"/>
        </w:rPr>
        <w:t>A consistent funding year</w:t>
      </w:r>
    </w:p>
    <w:p w14:paraId="4035413E" w14:textId="77777777" w:rsidR="00546E1F" w:rsidRPr="00546E1F" w:rsidRDefault="00546E1F" w:rsidP="00546E1F">
      <w:pPr>
        <w:pStyle w:val="ListParagraph"/>
        <w:numPr>
          <w:ilvl w:val="0"/>
          <w:numId w:val="22"/>
        </w:numPr>
        <w:jc w:val="both"/>
        <w:rPr>
          <w:rFonts w:ascii="Arial" w:hAnsi="Arial" w:cs="Arial"/>
        </w:rPr>
      </w:pPr>
      <w:r w:rsidRPr="00546E1F">
        <w:rPr>
          <w:rFonts w:ascii="Arial" w:hAnsi="Arial" w:cs="Arial"/>
        </w:rPr>
        <w:t>Equalities Impact Assessment</w:t>
      </w:r>
    </w:p>
    <w:p w14:paraId="00BE034C" w14:textId="20957EC0" w:rsidR="00546E1F" w:rsidRPr="00546E1F" w:rsidRDefault="00546E1F" w:rsidP="00546E1F">
      <w:pPr>
        <w:pStyle w:val="ListParagraph"/>
        <w:numPr>
          <w:ilvl w:val="0"/>
          <w:numId w:val="22"/>
        </w:numPr>
        <w:jc w:val="both"/>
        <w:rPr>
          <w:rFonts w:ascii="Arial" w:hAnsi="Arial" w:cs="Arial"/>
        </w:rPr>
      </w:pPr>
      <w:r>
        <w:rPr>
          <w:rFonts w:ascii="Arial" w:hAnsi="Arial" w:cs="Arial"/>
        </w:rPr>
        <w:t>Further comments</w:t>
      </w:r>
    </w:p>
    <w:p w14:paraId="34D45376" w14:textId="77777777" w:rsidR="00546E1F" w:rsidRPr="00546E1F" w:rsidRDefault="00546E1F" w:rsidP="00546E1F">
      <w:pPr>
        <w:pStyle w:val="ListParagraph"/>
        <w:ind w:left="1440"/>
        <w:jc w:val="both"/>
        <w:rPr>
          <w:b/>
        </w:rPr>
      </w:pPr>
    </w:p>
    <w:p w14:paraId="21D6B524" w14:textId="3871232E" w:rsidR="006B1374" w:rsidRPr="004F608F" w:rsidRDefault="006B1374" w:rsidP="00A36A30">
      <w:pPr>
        <w:pStyle w:val="ListParagraph"/>
        <w:numPr>
          <w:ilvl w:val="1"/>
          <w:numId w:val="2"/>
        </w:numPr>
        <w:ind w:hanging="720"/>
        <w:jc w:val="both"/>
        <w:rPr>
          <w:b/>
        </w:rPr>
      </w:pPr>
      <w:r w:rsidRPr="006B1374">
        <w:rPr>
          <w:rFonts w:ascii="Arial" w:hAnsi="Arial" w:cs="Arial"/>
        </w:rPr>
        <w:t xml:space="preserve">It should be noted that the </w:t>
      </w:r>
      <w:r w:rsidR="00E44082">
        <w:rPr>
          <w:rFonts w:ascii="Arial" w:hAnsi="Arial" w:cs="Arial"/>
        </w:rPr>
        <w:t>consultation and response</w:t>
      </w:r>
      <w:r w:rsidR="004F608F">
        <w:rPr>
          <w:rFonts w:ascii="Arial" w:hAnsi="Arial" w:cs="Arial"/>
        </w:rPr>
        <w:t xml:space="preserve"> is</w:t>
      </w:r>
      <w:r w:rsidRPr="006B1374">
        <w:rPr>
          <w:rFonts w:ascii="Arial" w:hAnsi="Arial" w:cs="Arial"/>
        </w:rPr>
        <w:t xml:space="preserve"> on-line</w:t>
      </w:r>
      <w:r w:rsidR="004F608F">
        <w:rPr>
          <w:rFonts w:ascii="Arial" w:hAnsi="Arial" w:cs="Arial"/>
        </w:rPr>
        <w:t xml:space="preserve"> via the link above.</w:t>
      </w:r>
    </w:p>
    <w:p w14:paraId="041006CD" w14:textId="77777777" w:rsidR="004F608F" w:rsidRPr="004F608F" w:rsidRDefault="004F608F" w:rsidP="004F608F">
      <w:pPr>
        <w:pStyle w:val="ListParagraph"/>
        <w:rPr>
          <w:b/>
        </w:rPr>
      </w:pPr>
    </w:p>
    <w:p w14:paraId="52AF49E9" w14:textId="77777777" w:rsidR="004F608F" w:rsidRPr="006B1374" w:rsidRDefault="004F608F" w:rsidP="004F608F">
      <w:pPr>
        <w:pStyle w:val="ListParagraph"/>
        <w:jc w:val="both"/>
        <w:rPr>
          <w:b/>
        </w:rPr>
      </w:pPr>
    </w:p>
    <w:p w14:paraId="0E491479" w14:textId="77777777" w:rsidR="00C54632" w:rsidRPr="006B1374" w:rsidRDefault="00C54632" w:rsidP="00C54632">
      <w:pPr>
        <w:pStyle w:val="Header"/>
        <w:tabs>
          <w:tab w:val="clear" w:pos="4153"/>
          <w:tab w:val="clear" w:pos="8306"/>
        </w:tabs>
        <w:rPr>
          <w:b/>
          <w:szCs w:val="24"/>
        </w:rPr>
      </w:pPr>
    </w:p>
    <w:p w14:paraId="7DD745E7" w14:textId="46BC1281" w:rsidR="00904A8D" w:rsidRPr="00420DD5" w:rsidRDefault="00904A8D" w:rsidP="00546E1F">
      <w:pPr>
        <w:pStyle w:val="Header"/>
        <w:numPr>
          <w:ilvl w:val="0"/>
          <w:numId w:val="2"/>
        </w:numPr>
        <w:tabs>
          <w:tab w:val="clear" w:pos="4153"/>
          <w:tab w:val="clear" w:pos="8306"/>
        </w:tabs>
        <w:ind w:hanging="720"/>
        <w:rPr>
          <w:b/>
        </w:rPr>
      </w:pPr>
      <w:r w:rsidRPr="00420DD5">
        <w:rPr>
          <w:rFonts w:cs="Arial"/>
          <w:b/>
          <w:bCs/>
          <w:sz w:val="28"/>
        </w:rPr>
        <w:lastRenderedPageBreak/>
        <w:t>Financial, resource and property implications</w:t>
      </w:r>
    </w:p>
    <w:p w14:paraId="46A1A874" w14:textId="77777777" w:rsidR="00904A8D" w:rsidRPr="00420DD5" w:rsidRDefault="00904A8D">
      <w:pPr>
        <w:pStyle w:val="Header"/>
        <w:tabs>
          <w:tab w:val="clear" w:pos="4153"/>
          <w:tab w:val="clear" w:pos="8306"/>
        </w:tabs>
        <w:rPr>
          <w:b/>
        </w:rPr>
      </w:pPr>
    </w:p>
    <w:p w14:paraId="42C83598" w14:textId="11C0FFF8" w:rsidR="00904A8D" w:rsidRPr="00420DD5" w:rsidRDefault="00546E1F" w:rsidP="00CA1E66">
      <w:pPr>
        <w:pStyle w:val="Header"/>
        <w:tabs>
          <w:tab w:val="clear" w:pos="4153"/>
          <w:tab w:val="clear" w:pos="8306"/>
        </w:tabs>
        <w:ind w:left="720" w:hanging="720"/>
        <w:jc w:val="both"/>
        <w:rPr>
          <w:bCs/>
        </w:rPr>
      </w:pPr>
      <w:r>
        <w:rPr>
          <w:bCs/>
        </w:rPr>
        <w:t>3</w:t>
      </w:r>
      <w:r w:rsidR="00904A8D" w:rsidRPr="00420DD5">
        <w:rPr>
          <w:bCs/>
        </w:rPr>
        <w:t>.1</w:t>
      </w:r>
      <w:r w:rsidR="00904A8D" w:rsidRPr="00420DD5">
        <w:rPr>
          <w:bCs/>
        </w:rPr>
        <w:tab/>
        <w:t>The financial implications are detailed in the main body of this report</w:t>
      </w:r>
      <w:r w:rsidR="00974BB9" w:rsidRPr="00420DD5">
        <w:rPr>
          <w:bCs/>
        </w:rPr>
        <w:t>.</w:t>
      </w:r>
      <w:r w:rsidR="00904A8D" w:rsidRPr="00420DD5">
        <w:rPr>
          <w:bCs/>
        </w:rPr>
        <w:br/>
      </w:r>
    </w:p>
    <w:p w14:paraId="15BCDEB0" w14:textId="02458979" w:rsidR="00904A8D" w:rsidRPr="00420DD5" w:rsidRDefault="00546E1F" w:rsidP="005847C2">
      <w:pPr>
        <w:pStyle w:val="Header"/>
        <w:tabs>
          <w:tab w:val="clear" w:pos="4153"/>
          <w:tab w:val="clear" w:pos="8306"/>
        </w:tabs>
        <w:ind w:hanging="284"/>
        <w:rPr>
          <w:b/>
        </w:rPr>
      </w:pPr>
      <w:r>
        <w:rPr>
          <w:rFonts w:cs="Arial"/>
          <w:b/>
          <w:bCs/>
          <w:sz w:val="28"/>
        </w:rPr>
        <w:t>4</w:t>
      </w:r>
      <w:r w:rsidR="005847C2">
        <w:rPr>
          <w:rFonts w:cs="Arial"/>
          <w:b/>
          <w:bCs/>
          <w:sz w:val="28"/>
        </w:rPr>
        <w:t>.</w:t>
      </w:r>
      <w:r w:rsidR="005847C2">
        <w:rPr>
          <w:rFonts w:cs="Arial"/>
          <w:b/>
          <w:bCs/>
          <w:sz w:val="28"/>
        </w:rPr>
        <w:tab/>
        <w:t xml:space="preserve">         </w:t>
      </w:r>
      <w:r w:rsidR="00904A8D" w:rsidRPr="00420DD5">
        <w:rPr>
          <w:rFonts w:cs="Arial"/>
          <w:b/>
          <w:bCs/>
          <w:sz w:val="28"/>
        </w:rPr>
        <w:t>Legal and statutory implications</w:t>
      </w:r>
      <w:r w:rsidR="00904A8D" w:rsidRPr="00420DD5">
        <w:rPr>
          <w:b/>
        </w:rPr>
        <w:br/>
      </w:r>
    </w:p>
    <w:p w14:paraId="09B7D0F2" w14:textId="3855D4C8" w:rsidR="00904A8D" w:rsidRPr="00420DD5" w:rsidRDefault="005847C2" w:rsidP="00546E1F">
      <w:pPr>
        <w:pStyle w:val="Header"/>
        <w:numPr>
          <w:ilvl w:val="1"/>
          <w:numId w:val="23"/>
        </w:numPr>
        <w:tabs>
          <w:tab w:val="clear" w:pos="4153"/>
          <w:tab w:val="clear" w:pos="8306"/>
        </w:tabs>
        <w:jc w:val="both"/>
      </w:pPr>
      <w:r>
        <w:t xml:space="preserve">     </w:t>
      </w:r>
      <w:r w:rsidR="00904A8D" w:rsidRPr="00420DD5">
        <w:t xml:space="preserve">No legal implications at this stage. </w:t>
      </w:r>
    </w:p>
    <w:p w14:paraId="6BD78092" w14:textId="77777777" w:rsidR="00904A8D" w:rsidRPr="00420DD5" w:rsidRDefault="00904A8D">
      <w:pPr>
        <w:pStyle w:val="Header"/>
        <w:tabs>
          <w:tab w:val="clear" w:pos="4153"/>
          <w:tab w:val="clear" w:pos="8306"/>
        </w:tabs>
        <w:ind w:left="285" w:hanging="285"/>
        <w:rPr>
          <w:b/>
        </w:rPr>
      </w:pPr>
    </w:p>
    <w:p w14:paraId="456C44C5" w14:textId="35892808" w:rsidR="00904A8D" w:rsidRPr="005847C2" w:rsidRDefault="00546E1F" w:rsidP="00546E1F">
      <w:pPr>
        <w:pStyle w:val="Header"/>
        <w:tabs>
          <w:tab w:val="clear" w:pos="4153"/>
          <w:tab w:val="clear" w:pos="8306"/>
        </w:tabs>
        <w:ind w:left="709" w:hanging="993"/>
        <w:rPr>
          <w:b/>
        </w:rPr>
      </w:pPr>
      <w:r>
        <w:rPr>
          <w:rFonts w:cs="Arial"/>
          <w:b/>
          <w:bCs/>
          <w:sz w:val="28"/>
        </w:rPr>
        <w:t xml:space="preserve">5. </w:t>
      </w:r>
      <w:r>
        <w:rPr>
          <w:rFonts w:cs="Arial"/>
          <w:b/>
          <w:bCs/>
          <w:sz w:val="28"/>
        </w:rPr>
        <w:tab/>
      </w:r>
      <w:r w:rsidR="00904A8D" w:rsidRPr="005847C2">
        <w:rPr>
          <w:rFonts w:cs="Arial"/>
          <w:b/>
          <w:bCs/>
          <w:sz w:val="28"/>
        </w:rPr>
        <w:t xml:space="preserve">Human rights, equalities and community </w:t>
      </w:r>
      <w:bookmarkStart w:id="0" w:name="_GoBack"/>
      <w:bookmarkEnd w:id="0"/>
      <w:r w:rsidR="006A6E83" w:rsidRPr="005847C2">
        <w:rPr>
          <w:rFonts w:cs="Arial"/>
          <w:b/>
          <w:bCs/>
          <w:sz w:val="28"/>
        </w:rPr>
        <w:t xml:space="preserve">cohesion </w:t>
      </w:r>
      <w:r w:rsidR="006A6E83">
        <w:rPr>
          <w:rFonts w:cs="Arial"/>
          <w:b/>
          <w:bCs/>
          <w:sz w:val="28"/>
        </w:rPr>
        <w:t>implications</w:t>
      </w:r>
      <w:r w:rsidR="00904A8D" w:rsidRPr="005847C2">
        <w:rPr>
          <w:b/>
        </w:rPr>
        <w:br/>
      </w:r>
    </w:p>
    <w:p w14:paraId="65970A69" w14:textId="6BD50DEA" w:rsidR="00904A8D" w:rsidRPr="00420DD5" w:rsidRDefault="00904A8D" w:rsidP="00546E1F">
      <w:pPr>
        <w:pStyle w:val="Header"/>
        <w:numPr>
          <w:ilvl w:val="1"/>
          <w:numId w:val="24"/>
        </w:numPr>
        <w:tabs>
          <w:tab w:val="clear" w:pos="4153"/>
          <w:tab w:val="clear" w:pos="8306"/>
        </w:tabs>
        <w:ind w:hanging="720"/>
        <w:jc w:val="both"/>
      </w:pPr>
      <w:r w:rsidRPr="00420DD5">
        <w:t>None at this stage.</w:t>
      </w:r>
    </w:p>
    <w:p w14:paraId="6E775DF8" w14:textId="77777777" w:rsidR="00904A8D" w:rsidRPr="00420DD5" w:rsidRDefault="00904A8D">
      <w:pPr>
        <w:autoSpaceDE w:val="0"/>
        <w:autoSpaceDN w:val="0"/>
        <w:adjustRightInd w:val="0"/>
        <w:rPr>
          <w:color w:val="000000"/>
          <w:lang w:val="en-US"/>
        </w:rPr>
      </w:pPr>
    </w:p>
    <w:p w14:paraId="745CEEA6" w14:textId="00B4F6F3" w:rsidR="00904A8D" w:rsidRPr="00420DD5" w:rsidRDefault="00546E1F" w:rsidP="00546E1F">
      <w:pPr>
        <w:pStyle w:val="Header"/>
        <w:numPr>
          <w:ilvl w:val="0"/>
          <w:numId w:val="25"/>
        </w:numPr>
        <w:tabs>
          <w:tab w:val="clear" w:pos="4153"/>
          <w:tab w:val="clear" w:pos="8306"/>
        </w:tabs>
        <w:ind w:hanging="644"/>
        <w:rPr>
          <w:rFonts w:cs="Arial"/>
          <w:b/>
          <w:bCs/>
          <w:sz w:val="28"/>
        </w:rPr>
      </w:pPr>
      <w:r>
        <w:rPr>
          <w:rFonts w:cs="Arial"/>
          <w:b/>
          <w:bCs/>
          <w:sz w:val="28"/>
        </w:rPr>
        <w:t xml:space="preserve">   </w:t>
      </w:r>
      <w:r w:rsidR="006A6E83">
        <w:rPr>
          <w:rFonts w:cs="Arial"/>
          <w:b/>
          <w:bCs/>
          <w:sz w:val="28"/>
        </w:rPr>
        <w:t xml:space="preserve"> </w:t>
      </w:r>
      <w:r w:rsidR="00904A8D" w:rsidRPr="00420DD5">
        <w:rPr>
          <w:rFonts w:cs="Arial"/>
          <w:b/>
          <w:bCs/>
          <w:sz w:val="28"/>
        </w:rPr>
        <w:t>Appendices</w:t>
      </w:r>
    </w:p>
    <w:p w14:paraId="2C3C4460" w14:textId="77777777" w:rsidR="00904A8D" w:rsidRPr="00420DD5" w:rsidRDefault="00904A8D">
      <w:pPr>
        <w:pStyle w:val="Header"/>
        <w:tabs>
          <w:tab w:val="clear" w:pos="4153"/>
          <w:tab w:val="clear" w:pos="8306"/>
        </w:tabs>
      </w:pPr>
    </w:p>
    <w:p w14:paraId="1F17EA46" w14:textId="12E1898A" w:rsidR="007970B2" w:rsidRDefault="0016255C" w:rsidP="005847C2">
      <w:pPr>
        <w:pStyle w:val="Header"/>
        <w:tabs>
          <w:tab w:val="clear" w:pos="4153"/>
          <w:tab w:val="clear" w:pos="8306"/>
        </w:tabs>
        <w:ind w:left="720"/>
      </w:pPr>
      <w:r>
        <w:t>A</w:t>
      </w:r>
      <w:r w:rsidR="005847C2">
        <w:t>nnex 1 –</w:t>
      </w:r>
      <w:r>
        <w:t xml:space="preserve"> </w:t>
      </w:r>
      <w:r w:rsidR="00546E1F">
        <w:t>Draft Consultation Response</w:t>
      </w:r>
    </w:p>
    <w:p w14:paraId="73833946" w14:textId="77777777" w:rsidR="00904A8D" w:rsidRPr="00420DD5" w:rsidRDefault="00904A8D">
      <w:pPr>
        <w:pStyle w:val="Header"/>
        <w:tabs>
          <w:tab w:val="clear" w:pos="4153"/>
          <w:tab w:val="clear" w:pos="8306"/>
        </w:tabs>
      </w:pPr>
      <w:r w:rsidRPr="00420DD5">
        <w:tab/>
      </w:r>
    </w:p>
    <w:p w14:paraId="0C3914F7" w14:textId="709E847C" w:rsidR="00904A8D" w:rsidRPr="00420DD5" w:rsidRDefault="00904A8D" w:rsidP="00546E1F">
      <w:pPr>
        <w:pStyle w:val="Header"/>
        <w:numPr>
          <w:ilvl w:val="0"/>
          <w:numId w:val="20"/>
        </w:numPr>
        <w:tabs>
          <w:tab w:val="clear" w:pos="4153"/>
          <w:tab w:val="clear" w:pos="8306"/>
        </w:tabs>
        <w:ind w:hanging="1004"/>
        <w:rPr>
          <w:rFonts w:cs="Arial"/>
          <w:b/>
          <w:bCs/>
          <w:sz w:val="28"/>
        </w:rPr>
      </w:pPr>
      <w:r w:rsidRPr="00420DD5">
        <w:rPr>
          <w:rFonts w:cs="Arial"/>
          <w:b/>
          <w:bCs/>
          <w:sz w:val="28"/>
        </w:rPr>
        <w:t xml:space="preserve">Background Papers – the following documents have been relied on in drawing up this report but do not form part of the report: </w:t>
      </w:r>
    </w:p>
    <w:p w14:paraId="04E5F5D1" w14:textId="77777777" w:rsidR="00904A8D" w:rsidRDefault="00904A8D">
      <w:pPr>
        <w:pStyle w:val="Header"/>
        <w:tabs>
          <w:tab w:val="clear" w:pos="4153"/>
          <w:tab w:val="clear" w:pos="8306"/>
        </w:tabs>
        <w:rPr>
          <w:rFonts w:cs="Arial"/>
          <w:b/>
          <w:bCs/>
          <w:sz w:val="28"/>
        </w:rPr>
      </w:pPr>
    </w:p>
    <w:p w14:paraId="0513FB3E" w14:textId="0D8B07B3" w:rsidR="00904A8D" w:rsidRPr="00420DD5" w:rsidRDefault="00242B8A" w:rsidP="00C169F2">
      <w:pPr>
        <w:pStyle w:val="Header"/>
        <w:numPr>
          <w:ilvl w:val="1"/>
          <w:numId w:val="20"/>
        </w:numPr>
        <w:tabs>
          <w:tab w:val="clear" w:pos="4153"/>
          <w:tab w:val="clear" w:pos="8306"/>
        </w:tabs>
        <w:ind w:left="709" w:hanging="709"/>
        <w:jc w:val="both"/>
      </w:pPr>
      <w:r>
        <w:t>C</w:t>
      </w:r>
      <w:r w:rsidR="00904A8D" w:rsidRPr="00420DD5">
        <w:t>entrally held financial information and other papers held by the Children Schools and Families Finance Team.</w:t>
      </w:r>
    </w:p>
    <w:p w14:paraId="6A9A225B" w14:textId="77777777" w:rsidR="00904A8D" w:rsidRPr="00420DD5" w:rsidRDefault="00904A8D">
      <w:pPr>
        <w:pStyle w:val="Header"/>
        <w:tabs>
          <w:tab w:val="clear" w:pos="4153"/>
          <w:tab w:val="clear" w:pos="8306"/>
        </w:tabs>
      </w:pPr>
    </w:p>
    <w:p w14:paraId="3624FD09" w14:textId="77777777" w:rsidR="00904A8D" w:rsidRPr="00420DD5" w:rsidRDefault="00904A8D" w:rsidP="005847C2">
      <w:pPr>
        <w:pStyle w:val="Header"/>
        <w:numPr>
          <w:ilvl w:val="0"/>
          <w:numId w:val="20"/>
        </w:numPr>
        <w:tabs>
          <w:tab w:val="clear" w:pos="4153"/>
          <w:tab w:val="clear" w:pos="8306"/>
        </w:tabs>
        <w:ind w:hanging="1004"/>
        <w:rPr>
          <w:rFonts w:cs="Arial"/>
          <w:b/>
          <w:bCs/>
          <w:sz w:val="28"/>
        </w:rPr>
      </w:pPr>
      <w:r w:rsidRPr="00420DD5">
        <w:rPr>
          <w:rFonts w:cs="Arial"/>
          <w:b/>
          <w:bCs/>
          <w:sz w:val="28"/>
        </w:rPr>
        <w:t>Report author</w:t>
      </w:r>
    </w:p>
    <w:p w14:paraId="440C2566" w14:textId="77777777" w:rsidR="00904A8D" w:rsidRPr="00420DD5" w:rsidRDefault="00904A8D">
      <w:pPr>
        <w:pStyle w:val="Header"/>
        <w:tabs>
          <w:tab w:val="clear" w:pos="4153"/>
          <w:tab w:val="clear" w:pos="8306"/>
        </w:tabs>
      </w:pPr>
    </w:p>
    <w:p w14:paraId="21039FCF" w14:textId="2B8089E7" w:rsidR="00904A8D" w:rsidRPr="00420DD5" w:rsidRDefault="00106BE5">
      <w:pPr>
        <w:pStyle w:val="Header"/>
        <w:tabs>
          <w:tab w:val="clear" w:pos="4153"/>
          <w:tab w:val="clear" w:pos="8306"/>
        </w:tabs>
      </w:pPr>
      <w:r>
        <w:t xml:space="preserve">Pat Harvey, Interim Principal Accountant, </w:t>
      </w:r>
      <w:r w:rsidR="00904A8D" w:rsidRPr="00420DD5">
        <w:t xml:space="preserve">CSF    </w:t>
      </w:r>
    </w:p>
    <w:p w14:paraId="2316954D" w14:textId="5AE81B15" w:rsidR="00904A8D" w:rsidRPr="00420DD5" w:rsidRDefault="00F0466C">
      <w:pPr>
        <w:pStyle w:val="Header"/>
        <w:tabs>
          <w:tab w:val="clear" w:pos="4153"/>
          <w:tab w:val="clear" w:pos="8306"/>
        </w:tabs>
      </w:pPr>
      <w:r>
        <w:t>0208 545 3939</w:t>
      </w:r>
    </w:p>
    <w:p w14:paraId="346A814B" w14:textId="25827C76" w:rsidR="00904A8D" w:rsidRPr="00420DD5" w:rsidRDefault="006A6E83">
      <w:pPr>
        <w:pStyle w:val="Header"/>
        <w:tabs>
          <w:tab w:val="clear" w:pos="4153"/>
          <w:tab w:val="clear" w:pos="8306"/>
        </w:tabs>
      </w:pPr>
      <w:hyperlink r:id="rId12" w:history="1">
        <w:r w:rsidR="00DA5E36" w:rsidRPr="0005479D">
          <w:rPr>
            <w:rStyle w:val="Hyperlink"/>
          </w:rPr>
          <w:t>Patricia.harvey@merton.gov.uk</w:t>
        </w:r>
      </w:hyperlink>
    </w:p>
    <w:p w14:paraId="74EED74F" w14:textId="77777777" w:rsidR="00904A8D" w:rsidRPr="00420DD5" w:rsidRDefault="00904A8D">
      <w:pPr>
        <w:pStyle w:val="Header"/>
        <w:tabs>
          <w:tab w:val="clear" w:pos="4153"/>
          <w:tab w:val="clear" w:pos="8306"/>
        </w:tabs>
      </w:pPr>
    </w:p>
    <w:p w14:paraId="09C6F354" w14:textId="77777777" w:rsidR="00904A8D" w:rsidRDefault="00904A8D" w:rsidP="00CA1E66">
      <w:pPr>
        <w:pStyle w:val="Header"/>
        <w:tabs>
          <w:tab w:val="clear" w:pos="4153"/>
          <w:tab w:val="clear" w:pos="8306"/>
        </w:tabs>
        <w:jc w:val="both"/>
      </w:pPr>
      <w:r w:rsidRPr="00420DD5">
        <w:t xml:space="preserve">Further information about Merton Council can be obtained from its web site </w:t>
      </w:r>
      <w:hyperlink r:id="rId13" w:history="1">
        <w:r w:rsidRPr="00420DD5">
          <w:rPr>
            <w:rStyle w:val="Hyperlink"/>
          </w:rPr>
          <w:t>www.merton.gov.uk</w:t>
        </w:r>
      </w:hyperlink>
      <w:r>
        <w:t xml:space="preserve"> </w:t>
      </w:r>
    </w:p>
    <w:p w14:paraId="30719A49" w14:textId="77777777" w:rsidR="00117944" w:rsidRDefault="00117944">
      <w:pPr>
        <w:pStyle w:val="Header"/>
        <w:tabs>
          <w:tab w:val="clear" w:pos="4153"/>
          <w:tab w:val="clear" w:pos="8306"/>
        </w:tabs>
        <w:jc w:val="right"/>
        <w:rPr>
          <w:b/>
          <w:sz w:val="36"/>
        </w:rPr>
      </w:pPr>
    </w:p>
    <w:p w14:paraId="631480C8" w14:textId="07F51FE9" w:rsidR="005847C2" w:rsidRDefault="005847C2">
      <w:pPr>
        <w:rPr>
          <w:b/>
          <w:sz w:val="36"/>
        </w:rPr>
      </w:pPr>
    </w:p>
    <w:p w14:paraId="722EA2D1" w14:textId="77777777" w:rsidR="005847C2" w:rsidRPr="005847C2" w:rsidRDefault="005847C2" w:rsidP="005847C2">
      <w:pPr>
        <w:rPr>
          <w:sz w:val="36"/>
        </w:rPr>
      </w:pPr>
    </w:p>
    <w:p w14:paraId="00C27D69" w14:textId="77777777" w:rsidR="005847C2" w:rsidRPr="005847C2" w:rsidRDefault="005847C2" w:rsidP="005847C2">
      <w:pPr>
        <w:rPr>
          <w:sz w:val="36"/>
        </w:rPr>
      </w:pPr>
    </w:p>
    <w:p w14:paraId="204C04C9" w14:textId="77777777" w:rsidR="005847C2" w:rsidRPr="005847C2" w:rsidRDefault="005847C2" w:rsidP="005847C2">
      <w:pPr>
        <w:rPr>
          <w:sz w:val="36"/>
        </w:rPr>
      </w:pPr>
    </w:p>
    <w:p w14:paraId="61D5DDD2" w14:textId="0E40D945" w:rsidR="002072A9" w:rsidRPr="005847C2" w:rsidRDefault="002072A9" w:rsidP="005847C2">
      <w:pPr>
        <w:rPr>
          <w:sz w:val="36"/>
        </w:rPr>
        <w:sectPr w:rsidR="002072A9" w:rsidRPr="005847C2" w:rsidSect="00DE37CE">
          <w:footerReference w:type="default" r:id="rId14"/>
          <w:pgSz w:w="11906" w:h="16838"/>
          <w:pgMar w:top="568" w:right="1418" w:bottom="1242" w:left="1418" w:header="709" w:footer="709" w:gutter="0"/>
          <w:cols w:space="708"/>
          <w:docGrid w:linePitch="360"/>
        </w:sectPr>
      </w:pPr>
    </w:p>
    <w:p w14:paraId="354A7442" w14:textId="77777777" w:rsidR="000D076D" w:rsidRPr="0059235F" w:rsidRDefault="000D076D" w:rsidP="000D076D">
      <w:pPr>
        <w:jc w:val="center"/>
        <w:rPr>
          <w:rFonts w:cstheme="minorHAnsi"/>
          <w:b/>
          <w:bCs/>
          <w:sz w:val="32"/>
          <w:szCs w:val="32"/>
        </w:rPr>
      </w:pPr>
      <w:r>
        <w:rPr>
          <w:rFonts w:cstheme="minorHAnsi"/>
          <w:b/>
          <w:bCs/>
          <w:sz w:val="32"/>
          <w:szCs w:val="32"/>
        </w:rPr>
        <w:lastRenderedPageBreak/>
        <w:t xml:space="preserve">DRAFT </w:t>
      </w:r>
      <w:r w:rsidRPr="0059235F">
        <w:rPr>
          <w:rFonts w:cstheme="minorHAnsi"/>
          <w:b/>
          <w:bCs/>
          <w:sz w:val="32"/>
          <w:szCs w:val="32"/>
        </w:rPr>
        <w:t xml:space="preserve">CONSULTATION Response </w:t>
      </w:r>
      <w:r>
        <w:rPr>
          <w:rFonts w:cstheme="minorHAnsi"/>
          <w:b/>
          <w:bCs/>
          <w:sz w:val="32"/>
          <w:szCs w:val="32"/>
        </w:rPr>
        <w:t>to</w:t>
      </w:r>
      <w:r w:rsidRPr="0059235F">
        <w:rPr>
          <w:rFonts w:cstheme="minorHAnsi"/>
          <w:b/>
          <w:bCs/>
          <w:sz w:val="32"/>
          <w:szCs w:val="32"/>
        </w:rPr>
        <w:t xml:space="preserve"> the</w:t>
      </w:r>
    </w:p>
    <w:p w14:paraId="045AE75D" w14:textId="77777777" w:rsidR="000D076D" w:rsidRPr="0059235F" w:rsidRDefault="000D076D" w:rsidP="000D076D">
      <w:pPr>
        <w:jc w:val="center"/>
        <w:rPr>
          <w:rFonts w:cstheme="minorHAnsi"/>
          <w:b/>
          <w:bCs/>
          <w:sz w:val="32"/>
          <w:szCs w:val="32"/>
        </w:rPr>
      </w:pPr>
      <w:r w:rsidRPr="0059235F">
        <w:rPr>
          <w:rFonts w:cstheme="minorHAnsi"/>
          <w:b/>
          <w:bCs/>
          <w:sz w:val="32"/>
          <w:szCs w:val="32"/>
        </w:rPr>
        <w:t xml:space="preserve">Fair school funding for all: completing our reforms to the </w:t>
      </w:r>
    </w:p>
    <w:p w14:paraId="2E6A9707" w14:textId="77777777" w:rsidR="000D076D" w:rsidRPr="0059235F" w:rsidRDefault="000D076D" w:rsidP="000D076D">
      <w:pPr>
        <w:jc w:val="center"/>
        <w:rPr>
          <w:rFonts w:cstheme="minorHAnsi"/>
          <w:b/>
          <w:bCs/>
          <w:sz w:val="32"/>
          <w:szCs w:val="32"/>
        </w:rPr>
      </w:pPr>
      <w:r w:rsidRPr="0059235F">
        <w:rPr>
          <w:rFonts w:cstheme="minorHAnsi"/>
          <w:b/>
          <w:bCs/>
          <w:sz w:val="32"/>
          <w:szCs w:val="32"/>
        </w:rPr>
        <w:t>National Funding Formula closing date 30 September 2021</w:t>
      </w:r>
    </w:p>
    <w:p w14:paraId="4A30C2E1" w14:textId="77777777" w:rsidR="000D076D" w:rsidRDefault="000D076D" w:rsidP="000D076D">
      <w:pPr>
        <w:rPr>
          <w:rFonts w:cstheme="minorHAnsi"/>
          <w:sz w:val="28"/>
          <w:szCs w:val="28"/>
        </w:rPr>
      </w:pPr>
    </w:p>
    <w:p w14:paraId="4BB11BB0" w14:textId="77777777" w:rsidR="000D076D" w:rsidRPr="0059235F" w:rsidRDefault="000D076D" w:rsidP="000D076D">
      <w:pPr>
        <w:jc w:val="both"/>
        <w:rPr>
          <w:rFonts w:cstheme="minorHAnsi"/>
          <w:b/>
          <w:bCs/>
          <w:sz w:val="28"/>
          <w:szCs w:val="28"/>
          <w:u w:val="single"/>
        </w:rPr>
      </w:pPr>
      <w:r w:rsidRPr="0059235F">
        <w:rPr>
          <w:rFonts w:cstheme="minorHAnsi"/>
          <w:b/>
          <w:bCs/>
          <w:sz w:val="28"/>
          <w:szCs w:val="28"/>
          <w:u w:val="single"/>
        </w:rPr>
        <w:t>Background</w:t>
      </w:r>
    </w:p>
    <w:p w14:paraId="648002A1" w14:textId="77777777" w:rsidR="000D076D" w:rsidRPr="007A5663" w:rsidRDefault="000D076D" w:rsidP="000D076D">
      <w:pPr>
        <w:jc w:val="both"/>
        <w:rPr>
          <w:rFonts w:cstheme="minorHAnsi"/>
          <w:b/>
          <w:bCs/>
          <w:sz w:val="28"/>
          <w:szCs w:val="28"/>
        </w:rPr>
      </w:pPr>
    </w:p>
    <w:p w14:paraId="1DF1D692" w14:textId="77777777" w:rsidR="000D076D" w:rsidRPr="001A3548" w:rsidRDefault="000D076D" w:rsidP="000D076D">
      <w:pPr>
        <w:jc w:val="both"/>
        <w:rPr>
          <w:rFonts w:cstheme="minorHAnsi"/>
          <w:sz w:val="28"/>
          <w:szCs w:val="28"/>
        </w:rPr>
      </w:pPr>
      <w:r w:rsidRPr="001A3548">
        <w:rPr>
          <w:rFonts w:cstheme="minorHAnsi"/>
          <w:sz w:val="28"/>
          <w:szCs w:val="28"/>
        </w:rPr>
        <w:t xml:space="preserve">The </w:t>
      </w:r>
      <w:r>
        <w:rPr>
          <w:rFonts w:cstheme="minorHAnsi"/>
          <w:sz w:val="28"/>
          <w:szCs w:val="28"/>
        </w:rPr>
        <w:t xml:space="preserve">Government </w:t>
      </w:r>
      <w:r w:rsidRPr="001A3548">
        <w:rPr>
          <w:rFonts w:cstheme="minorHAnsi"/>
          <w:sz w:val="28"/>
          <w:szCs w:val="28"/>
        </w:rPr>
        <w:t>introd</w:t>
      </w:r>
      <w:r>
        <w:rPr>
          <w:rFonts w:cstheme="minorHAnsi"/>
          <w:sz w:val="28"/>
          <w:szCs w:val="28"/>
        </w:rPr>
        <w:t>uced</w:t>
      </w:r>
      <w:r w:rsidRPr="001A3548">
        <w:rPr>
          <w:rFonts w:cstheme="minorHAnsi"/>
          <w:sz w:val="28"/>
          <w:szCs w:val="28"/>
        </w:rPr>
        <w:t xml:space="preserve"> in 2018-19 </w:t>
      </w:r>
      <w:r>
        <w:rPr>
          <w:rFonts w:cstheme="minorHAnsi"/>
          <w:sz w:val="28"/>
          <w:szCs w:val="28"/>
        </w:rPr>
        <w:t>the</w:t>
      </w:r>
      <w:r w:rsidRPr="001A3548">
        <w:rPr>
          <w:rFonts w:cstheme="minorHAnsi"/>
          <w:sz w:val="28"/>
          <w:szCs w:val="28"/>
        </w:rPr>
        <w:t xml:space="preserve"> </w:t>
      </w:r>
      <w:r>
        <w:rPr>
          <w:rFonts w:cstheme="minorHAnsi"/>
          <w:sz w:val="28"/>
          <w:szCs w:val="28"/>
        </w:rPr>
        <w:t>National Funding Formula (</w:t>
      </w:r>
      <w:r w:rsidRPr="001A3548">
        <w:rPr>
          <w:rFonts w:cstheme="minorHAnsi"/>
          <w:sz w:val="28"/>
          <w:szCs w:val="28"/>
        </w:rPr>
        <w:t>NFF</w:t>
      </w:r>
      <w:r>
        <w:rPr>
          <w:rFonts w:cstheme="minorHAnsi"/>
          <w:sz w:val="28"/>
          <w:szCs w:val="28"/>
        </w:rPr>
        <w:t>)</w:t>
      </w:r>
      <w:r w:rsidRPr="001A3548">
        <w:rPr>
          <w:rFonts w:cstheme="minorHAnsi"/>
          <w:sz w:val="28"/>
          <w:szCs w:val="28"/>
        </w:rPr>
        <w:t xml:space="preserve"> for mainstream schools’</w:t>
      </w:r>
      <w:r>
        <w:rPr>
          <w:rFonts w:cstheme="minorHAnsi"/>
          <w:sz w:val="28"/>
          <w:szCs w:val="28"/>
        </w:rPr>
        <w:t xml:space="preserve"> and overall aim </w:t>
      </w:r>
      <w:r w:rsidRPr="001A3548">
        <w:rPr>
          <w:rFonts w:cstheme="minorHAnsi"/>
          <w:sz w:val="28"/>
          <w:szCs w:val="28"/>
        </w:rPr>
        <w:t xml:space="preserve">was </w:t>
      </w:r>
      <w:r>
        <w:rPr>
          <w:rFonts w:cstheme="minorHAnsi"/>
          <w:sz w:val="28"/>
          <w:szCs w:val="28"/>
        </w:rPr>
        <w:t>to</w:t>
      </w:r>
      <w:r w:rsidRPr="001A3548">
        <w:rPr>
          <w:rFonts w:cstheme="minorHAnsi"/>
          <w:sz w:val="28"/>
          <w:szCs w:val="28"/>
        </w:rPr>
        <w:t xml:space="preserve"> </w:t>
      </w:r>
      <w:r>
        <w:rPr>
          <w:rFonts w:cstheme="minorHAnsi"/>
          <w:sz w:val="28"/>
          <w:szCs w:val="28"/>
        </w:rPr>
        <w:t xml:space="preserve">move </w:t>
      </w:r>
      <w:r w:rsidRPr="001A3548">
        <w:rPr>
          <w:rFonts w:cstheme="minorHAnsi"/>
          <w:sz w:val="28"/>
          <w:szCs w:val="28"/>
        </w:rPr>
        <w:t>towards a fairer funding system and replac</w:t>
      </w:r>
      <w:r>
        <w:rPr>
          <w:rFonts w:cstheme="minorHAnsi"/>
          <w:sz w:val="28"/>
          <w:szCs w:val="28"/>
        </w:rPr>
        <w:t>e</w:t>
      </w:r>
      <w:r w:rsidRPr="001A3548">
        <w:rPr>
          <w:rFonts w:cstheme="minorHAnsi"/>
          <w:sz w:val="28"/>
          <w:szCs w:val="28"/>
        </w:rPr>
        <w:t xml:space="preserve"> the postcode lottery of </w:t>
      </w:r>
      <w:r>
        <w:rPr>
          <w:rFonts w:cstheme="minorHAnsi"/>
          <w:sz w:val="28"/>
          <w:szCs w:val="28"/>
        </w:rPr>
        <w:t>funding</w:t>
      </w:r>
      <w:r w:rsidRPr="001A3548">
        <w:rPr>
          <w:rFonts w:cstheme="minorHAnsi"/>
          <w:sz w:val="28"/>
          <w:szCs w:val="28"/>
        </w:rPr>
        <w:t xml:space="preserve">. The schools NFF </w:t>
      </w:r>
      <w:r>
        <w:rPr>
          <w:rFonts w:cstheme="minorHAnsi"/>
          <w:sz w:val="28"/>
          <w:szCs w:val="28"/>
        </w:rPr>
        <w:t>was a</w:t>
      </w:r>
      <w:r w:rsidRPr="001A3548">
        <w:rPr>
          <w:rFonts w:cstheme="minorHAnsi"/>
          <w:sz w:val="28"/>
          <w:szCs w:val="28"/>
        </w:rPr>
        <w:t xml:space="preserve"> mov</w:t>
      </w:r>
      <w:r>
        <w:rPr>
          <w:rFonts w:cstheme="minorHAnsi"/>
          <w:sz w:val="28"/>
          <w:szCs w:val="28"/>
        </w:rPr>
        <w:t>e</w:t>
      </w:r>
      <w:r w:rsidRPr="001A3548">
        <w:rPr>
          <w:rFonts w:cstheme="minorHAnsi"/>
          <w:sz w:val="28"/>
          <w:szCs w:val="28"/>
        </w:rPr>
        <w:t xml:space="preserve"> to calculate schools’ funding allocations based on the characteristics and needs of each school and its pupils</w:t>
      </w:r>
      <w:r>
        <w:rPr>
          <w:rFonts w:cstheme="minorHAnsi"/>
          <w:sz w:val="28"/>
          <w:szCs w:val="28"/>
        </w:rPr>
        <w:t xml:space="preserve">, </w:t>
      </w:r>
      <w:r w:rsidRPr="001A3548">
        <w:rPr>
          <w:rFonts w:cstheme="minorHAnsi"/>
          <w:sz w:val="28"/>
          <w:szCs w:val="28"/>
        </w:rPr>
        <w:t>rather than the history or location. Th</w:t>
      </w:r>
      <w:r>
        <w:rPr>
          <w:rFonts w:cstheme="minorHAnsi"/>
          <w:sz w:val="28"/>
          <w:szCs w:val="28"/>
        </w:rPr>
        <w:t xml:space="preserve">e </w:t>
      </w:r>
      <w:r w:rsidRPr="001A3548">
        <w:rPr>
          <w:rFonts w:cstheme="minorHAnsi"/>
          <w:sz w:val="28"/>
          <w:szCs w:val="28"/>
        </w:rPr>
        <w:t>new formula was the result of extensive consultation with the school sector, both on the underlying principles and then the design of the formula itself.</w:t>
      </w:r>
    </w:p>
    <w:p w14:paraId="61C17115" w14:textId="77777777" w:rsidR="000D076D" w:rsidRDefault="000D076D" w:rsidP="000D076D">
      <w:pPr>
        <w:rPr>
          <w:rFonts w:cstheme="minorHAnsi"/>
          <w:sz w:val="28"/>
          <w:szCs w:val="28"/>
        </w:rPr>
      </w:pPr>
    </w:p>
    <w:p w14:paraId="551C2EDC" w14:textId="77777777" w:rsidR="000D076D" w:rsidRDefault="000D076D" w:rsidP="000D076D">
      <w:pPr>
        <w:jc w:val="both"/>
        <w:rPr>
          <w:rFonts w:cstheme="minorHAnsi"/>
          <w:sz w:val="28"/>
          <w:szCs w:val="28"/>
        </w:rPr>
      </w:pPr>
      <w:r w:rsidRPr="00A049C4">
        <w:rPr>
          <w:rFonts w:cstheme="minorHAnsi"/>
          <w:sz w:val="28"/>
          <w:szCs w:val="28"/>
        </w:rPr>
        <w:t>The schools NFF is a single, national formula that allocates the core funding for all mainstream schools, both maintained and academies, in England, for pupils aged 5 to 16. Early years, high needs (including special schools) and post-16 provision each have a separate national funding formula, reflecting the specific needs of those parts of the education system, and they are not the subject of th</w:t>
      </w:r>
      <w:r>
        <w:rPr>
          <w:rFonts w:cstheme="minorHAnsi"/>
          <w:sz w:val="28"/>
          <w:szCs w:val="28"/>
        </w:rPr>
        <w:t>is</w:t>
      </w:r>
      <w:r w:rsidRPr="00A049C4">
        <w:rPr>
          <w:rFonts w:cstheme="minorHAnsi"/>
          <w:sz w:val="28"/>
          <w:szCs w:val="28"/>
        </w:rPr>
        <w:t xml:space="preserve"> consultation.</w:t>
      </w:r>
      <w:r>
        <w:rPr>
          <w:rFonts w:cstheme="minorHAnsi"/>
          <w:sz w:val="28"/>
          <w:szCs w:val="28"/>
        </w:rPr>
        <w:t xml:space="preserve">  A separate consultation or a published outcome from the SEN consultation from September 2019 is due for publication with the outcomes.</w:t>
      </w:r>
    </w:p>
    <w:p w14:paraId="353E8DE8" w14:textId="77777777" w:rsidR="000D076D" w:rsidRDefault="000D076D" w:rsidP="000D076D">
      <w:pPr>
        <w:jc w:val="both"/>
        <w:rPr>
          <w:rFonts w:cstheme="minorHAnsi"/>
          <w:sz w:val="28"/>
          <w:szCs w:val="28"/>
        </w:rPr>
      </w:pPr>
    </w:p>
    <w:p w14:paraId="3BD6CAE8" w14:textId="63C6AB59" w:rsidR="000D076D" w:rsidRDefault="000D076D" w:rsidP="000D076D">
      <w:pPr>
        <w:jc w:val="both"/>
        <w:rPr>
          <w:rFonts w:cstheme="minorHAnsi"/>
          <w:sz w:val="28"/>
          <w:szCs w:val="28"/>
        </w:rPr>
      </w:pPr>
      <w:r w:rsidRPr="00EE312F">
        <w:rPr>
          <w:rFonts w:cstheme="minorHAnsi"/>
          <w:sz w:val="28"/>
          <w:szCs w:val="28"/>
        </w:rPr>
        <w:t xml:space="preserve">Since </w:t>
      </w:r>
      <w:r>
        <w:rPr>
          <w:rFonts w:cstheme="minorHAnsi"/>
          <w:sz w:val="28"/>
          <w:szCs w:val="28"/>
        </w:rPr>
        <w:t>the</w:t>
      </w:r>
      <w:r w:rsidRPr="00EE312F">
        <w:rPr>
          <w:rFonts w:cstheme="minorHAnsi"/>
          <w:sz w:val="28"/>
          <w:szCs w:val="28"/>
        </w:rPr>
        <w:t xml:space="preserve"> introduction </w:t>
      </w:r>
      <w:r>
        <w:rPr>
          <w:rFonts w:cstheme="minorHAnsi"/>
          <w:sz w:val="28"/>
          <w:szCs w:val="28"/>
        </w:rPr>
        <w:t xml:space="preserve">of </w:t>
      </w:r>
      <w:r w:rsidRPr="00EE312F">
        <w:rPr>
          <w:rFonts w:cstheme="minorHAnsi"/>
          <w:sz w:val="28"/>
          <w:szCs w:val="28"/>
        </w:rPr>
        <w:t xml:space="preserve">the NFF </w:t>
      </w:r>
      <w:r>
        <w:rPr>
          <w:rFonts w:cstheme="minorHAnsi"/>
          <w:sz w:val="28"/>
          <w:szCs w:val="28"/>
        </w:rPr>
        <w:t xml:space="preserve">it </w:t>
      </w:r>
      <w:r w:rsidRPr="00EE312F">
        <w:rPr>
          <w:rFonts w:cstheme="minorHAnsi"/>
          <w:sz w:val="28"/>
          <w:szCs w:val="28"/>
        </w:rPr>
        <w:t xml:space="preserve">has been a ‘soft’ formula. This means that the </w:t>
      </w:r>
      <w:r>
        <w:rPr>
          <w:rFonts w:cstheme="minorHAnsi"/>
          <w:sz w:val="28"/>
          <w:szCs w:val="28"/>
        </w:rPr>
        <w:t>government</w:t>
      </w:r>
      <w:r w:rsidRPr="00EE312F">
        <w:rPr>
          <w:rFonts w:cstheme="minorHAnsi"/>
          <w:sz w:val="28"/>
          <w:szCs w:val="28"/>
        </w:rPr>
        <w:t>, through the NFF, calculates funding allocations in relation to each individual mainstream school, based on its characteristics</w:t>
      </w:r>
      <w:r>
        <w:rPr>
          <w:rFonts w:cstheme="minorHAnsi"/>
          <w:sz w:val="28"/>
          <w:szCs w:val="28"/>
        </w:rPr>
        <w:t xml:space="preserve"> via the autumn CENSUS data</w:t>
      </w:r>
      <w:r w:rsidRPr="00EE312F">
        <w:rPr>
          <w:rFonts w:cstheme="minorHAnsi"/>
          <w:sz w:val="28"/>
          <w:szCs w:val="28"/>
        </w:rPr>
        <w:t xml:space="preserve">. The individual school-level allocations are then aggregated for each local authority (LA). The LA, from its aggregated total, then determines individual schools’ final funding allocations through a local formula, which it is responsible for setting. </w:t>
      </w:r>
      <w:r>
        <w:rPr>
          <w:rFonts w:cstheme="minorHAnsi"/>
          <w:sz w:val="28"/>
          <w:szCs w:val="28"/>
        </w:rPr>
        <w:t xml:space="preserve"> The template or formula is called the Local Authority Proforma (APT) and is subject to School Forum approval and Education Schools and Funding Agency (ESFA) data validation prior to individual school budgets being distributed in March.</w:t>
      </w:r>
    </w:p>
    <w:p w14:paraId="57A86772" w14:textId="77777777" w:rsidR="000D076D" w:rsidRDefault="000D076D" w:rsidP="000D076D">
      <w:pPr>
        <w:jc w:val="both"/>
        <w:rPr>
          <w:rFonts w:cstheme="minorHAnsi"/>
          <w:sz w:val="28"/>
          <w:szCs w:val="28"/>
        </w:rPr>
      </w:pPr>
    </w:p>
    <w:p w14:paraId="3A330704" w14:textId="61A85A72" w:rsidR="000D076D" w:rsidRDefault="000D076D" w:rsidP="000D076D">
      <w:pPr>
        <w:jc w:val="both"/>
        <w:rPr>
          <w:rFonts w:cstheme="minorHAnsi"/>
          <w:sz w:val="28"/>
          <w:szCs w:val="28"/>
        </w:rPr>
      </w:pPr>
      <w:r w:rsidRPr="00EE312F">
        <w:rPr>
          <w:rFonts w:cstheme="minorHAnsi"/>
          <w:sz w:val="28"/>
          <w:szCs w:val="28"/>
        </w:rPr>
        <w:t xml:space="preserve">While the </w:t>
      </w:r>
      <w:r>
        <w:rPr>
          <w:rFonts w:cstheme="minorHAnsi"/>
          <w:sz w:val="28"/>
          <w:szCs w:val="28"/>
        </w:rPr>
        <w:t>government</w:t>
      </w:r>
      <w:r w:rsidRPr="00EE312F">
        <w:rPr>
          <w:rFonts w:cstheme="minorHAnsi"/>
          <w:sz w:val="28"/>
          <w:szCs w:val="28"/>
        </w:rPr>
        <w:t xml:space="preserve"> has set some parameters within which local formulae must operate, LAs have discretion about the amount of funding </w:t>
      </w:r>
      <w:r>
        <w:rPr>
          <w:rFonts w:cstheme="minorHAnsi"/>
          <w:sz w:val="28"/>
          <w:szCs w:val="28"/>
        </w:rPr>
        <w:t>allocated</w:t>
      </w:r>
      <w:r w:rsidRPr="00EE312F">
        <w:rPr>
          <w:rFonts w:cstheme="minorHAnsi"/>
          <w:sz w:val="28"/>
          <w:szCs w:val="28"/>
        </w:rPr>
        <w:t xml:space="preserve"> towards each factor and some flexibility over which factors to use in their local formulae</w:t>
      </w:r>
      <w:r>
        <w:rPr>
          <w:rFonts w:cstheme="minorHAnsi"/>
          <w:sz w:val="28"/>
          <w:szCs w:val="28"/>
        </w:rPr>
        <w:t>.</w:t>
      </w:r>
      <w:r w:rsidRPr="00EE312F">
        <w:rPr>
          <w:rFonts w:cstheme="minorHAnsi"/>
          <w:sz w:val="28"/>
          <w:szCs w:val="28"/>
        </w:rPr>
        <w:t xml:space="preserve"> </w:t>
      </w:r>
    </w:p>
    <w:p w14:paraId="12A2A36E" w14:textId="77777777" w:rsidR="000D076D" w:rsidRDefault="000D076D" w:rsidP="000D076D">
      <w:pPr>
        <w:jc w:val="both"/>
        <w:rPr>
          <w:rFonts w:cstheme="minorHAnsi"/>
          <w:sz w:val="28"/>
          <w:szCs w:val="28"/>
        </w:rPr>
      </w:pPr>
    </w:p>
    <w:p w14:paraId="52A0EB09" w14:textId="77777777" w:rsidR="000D076D" w:rsidRPr="006317BE" w:rsidRDefault="000D076D" w:rsidP="000D076D">
      <w:pPr>
        <w:rPr>
          <w:rFonts w:cstheme="minorHAnsi"/>
          <w:sz w:val="28"/>
          <w:szCs w:val="28"/>
        </w:rPr>
      </w:pPr>
      <w:r w:rsidRPr="006317BE">
        <w:rPr>
          <w:rFonts w:cstheme="minorHAnsi"/>
          <w:sz w:val="28"/>
          <w:szCs w:val="28"/>
        </w:rPr>
        <w:t>The funding factors of the NFF are detailed in table 1 below</w:t>
      </w:r>
      <w:r>
        <w:rPr>
          <w:rFonts w:cstheme="minorHAnsi"/>
          <w:sz w:val="28"/>
          <w:szCs w:val="28"/>
        </w:rPr>
        <w:t xml:space="preserve"> and proposal is to be fair, efficient, transparent, efficient and predictable:</w:t>
      </w:r>
    </w:p>
    <w:p w14:paraId="02659629" w14:textId="77777777" w:rsidR="000D076D" w:rsidRDefault="000D076D" w:rsidP="000D076D">
      <w:pPr>
        <w:rPr>
          <w:rFonts w:cstheme="minorHAnsi"/>
          <w:sz w:val="28"/>
          <w:szCs w:val="28"/>
        </w:rPr>
      </w:pPr>
      <w:r w:rsidRPr="008415FB">
        <w:rPr>
          <w:noProof/>
          <w:lang w:eastAsia="en-GB"/>
        </w:rPr>
        <w:lastRenderedPageBreak/>
        <w:drawing>
          <wp:anchor distT="0" distB="0" distL="114300" distR="114300" simplePos="0" relativeHeight="251659264" behindDoc="1" locked="0" layoutInCell="1" allowOverlap="1" wp14:anchorId="7385785E" wp14:editId="6267922D">
            <wp:simplePos x="0" y="0"/>
            <wp:positionH relativeFrom="margin">
              <wp:align>left</wp:align>
            </wp:positionH>
            <wp:positionV relativeFrom="paragraph">
              <wp:posOffset>12700</wp:posOffset>
            </wp:positionV>
            <wp:extent cx="5645150" cy="2406650"/>
            <wp:effectExtent l="0" t="0" r="0" b="0"/>
            <wp:wrapTight wrapText="bothSides">
              <wp:wrapPolygon edited="0">
                <wp:start x="0" y="0"/>
                <wp:lineTo x="0" y="21372"/>
                <wp:lineTo x="21503" y="21372"/>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5150" cy="2406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sz w:val="28"/>
          <w:szCs w:val="28"/>
        </w:rPr>
        <w:t>Table 1 – NFF Funding Factors</w:t>
      </w:r>
      <w:r>
        <w:rPr>
          <w:rFonts w:cstheme="minorHAnsi"/>
          <w:sz w:val="28"/>
          <w:szCs w:val="28"/>
        </w:rPr>
        <w:br w:type="textWrapping" w:clear="all"/>
      </w:r>
    </w:p>
    <w:p w14:paraId="0E3E46DD" w14:textId="77777777" w:rsidR="000D076D" w:rsidRDefault="000D076D" w:rsidP="000D076D">
      <w:pPr>
        <w:rPr>
          <w:rFonts w:cstheme="minorHAnsi"/>
          <w:b/>
          <w:bCs/>
          <w:sz w:val="28"/>
          <w:szCs w:val="28"/>
        </w:rPr>
      </w:pPr>
      <w:r>
        <w:rPr>
          <w:rFonts w:cstheme="minorHAnsi"/>
          <w:b/>
          <w:bCs/>
          <w:sz w:val="28"/>
          <w:szCs w:val="28"/>
        </w:rPr>
        <w:t xml:space="preserve">London Borough of Merton (LBM) </w:t>
      </w:r>
      <w:r w:rsidRPr="001E1BE9">
        <w:rPr>
          <w:rFonts w:cstheme="minorHAnsi"/>
          <w:b/>
          <w:bCs/>
          <w:sz w:val="28"/>
          <w:szCs w:val="28"/>
        </w:rPr>
        <w:t>Soft Formula</w:t>
      </w:r>
      <w:r>
        <w:rPr>
          <w:rFonts w:cstheme="minorHAnsi"/>
          <w:b/>
          <w:bCs/>
          <w:sz w:val="28"/>
          <w:szCs w:val="28"/>
        </w:rPr>
        <w:t xml:space="preserve"> Rates 2021-22</w:t>
      </w:r>
    </w:p>
    <w:p w14:paraId="063146F6" w14:textId="77777777" w:rsidR="000D076D" w:rsidRDefault="000D076D" w:rsidP="000D076D">
      <w:pPr>
        <w:rPr>
          <w:rFonts w:cstheme="minorHAnsi"/>
          <w:sz w:val="28"/>
          <w:szCs w:val="28"/>
        </w:rPr>
      </w:pPr>
      <w:r w:rsidRPr="00E974FA">
        <w:rPr>
          <w:rFonts w:cstheme="minorHAnsi"/>
          <w:sz w:val="28"/>
          <w:szCs w:val="28"/>
        </w:rPr>
        <w:t xml:space="preserve">Table </w:t>
      </w:r>
      <w:r>
        <w:rPr>
          <w:rFonts w:cstheme="minorHAnsi"/>
          <w:sz w:val="28"/>
          <w:szCs w:val="28"/>
        </w:rPr>
        <w:t xml:space="preserve">2 below details LBM </w:t>
      </w:r>
      <w:r w:rsidRPr="00E974FA">
        <w:rPr>
          <w:rFonts w:cstheme="minorHAnsi"/>
          <w:sz w:val="28"/>
          <w:szCs w:val="28"/>
        </w:rPr>
        <w:t>current formula rates and draft proposed 2022-23 rates as recently published</w:t>
      </w:r>
      <w:r>
        <w:rPr>
          <w:rFonts w:cstheme="minorHAnsi"/>
          <w:sz w:val="28"/>
          <w:szCs w:val="28"/>
        </w:rPr>
        <w:t xml:space="preserve"> by the ESFA.</w:t>
      </w:r>
    </w:p>
    <w:p w14:paraId="2B7BF81A" w14:textId="77777777" w:rsidR="000D076D" w:rsidRPr="00E974FA" w:rsidRDefault="000D076D" w:rsidP="000D076D">
      <w:pPr>
        <w:tabs>
          <w:tab w:val="left" w:pos="1150"/>
        </w:tabs>
        <w:rPr>
          <w:rFonts w:cstheme="minorHAnsi"/>
          <w:sz w:val="28"/>
          <w:szCs w:val="28"/>
        </w:rPr>
      </w:pPr>
      <w:r>
        <w:rPr>
          <w:rFonts w:cstheme="minorHAnsi"/>
          <w:sz w:val="28"/>
          <w:szCs w:val="28"/>
        </w:rPr>
        <w:tab/>
      </w:r>
    </w:p>
    <w:tbl>
      <w:tblPr>
        <w:tblW w:w="5887" w:type="dxa"/>
        <w:tblInd w:w="993" w:type="dxa"/>
        <w:tblLook w:val="04A0" w:firstRow="1" w:lastRow="0" w:firstColumn="1" w:lastColumn="0" w:noHBand="0" w:noVBand="1"/>
      </w:tblPr>
      <w:tblGrid>
        <w:gridCol w:w="2640"/>
        <w:gridCol w:w="967"/>
        <w:gridCol w:w="1140"/>
        <w:gridCol w:w="1140"/>
      </w:tblGrid>
      <w:tr w:rsidR="000D076D" w:rsidRPr="00751324" w14:paraId="368C8DD5" w14:textId="77777777" w:rsidTr="000D076D">
        <w:trPr>
          <w:trHeight w:val="880"/>
        </w:trPr>
        <w:tc>
          <w:tcPr>
            <w:tcW w:w="2640" w:type="dxa"/>
            <w:tcBorders>
              <w:top w:val="nil"/>
              <w:left w:val="nil"/>
              <w:bottom w:val="nil"/>
              <w:right w:val="nil"/>
            </w:tcBorders>
            <w:shd w:val="clear" w:color="000000" w:fill="FFFFFF"/>
            <w:noWrap/>
            <w:vAlign w:val="bottom"/>
            <w:hideMark/>
          </w:tcPr>
          <w:p w14:paraId="4DE9C1C8" w14:textId="77777777" w:rsidR="000D076D" w:rsidRPr="00751324" w:rsidRDefault="000D076D" w:rsidP="002A7332">
            <w:pPr>
              <w:rPr>
                <w:rFonts w:ascii="Calibri" w:hAnsi="Calibri" w:cs="Calibri"/>
                <w:color w:val="000000"/>
                <w:lang w:eastAsia="en-GB"/>
              </w:rPr>
            </w:pPr>
            <w:r w:rsidRPr="00751324">
              <w:rPr>
                <w:rFonts w:ascii="Calibri" w:hAnsi="Calibri" w:cs="Calibri"/>
                <w:color w:val="000000"/>
                <w:lang w:eastAsia="en-GB"/>
              </w:rPr>
              <w:t> </w:t>
            </w:r>
          </w:p>
        </w:tc>
        <w:tc>
          <w:tcPr>
            <w:tcW w:w="967" w:type="dxa"/>
            <w:tcBorders>
              <w:top w:val="single" w:sz="8" w:space="0" w:color="auto"/>
              <w:left w:val="single" w:sz="8" w:space="0" w:color="auto"/>
              <w:bottom w:val="single" w:sz="8" w:space="0" w:color="auto"/>
              <w:right w:val="nil"/>
            </w:tcBorders>
            <w:shd w:val="clear" w:color="auto" w:fill="auto"/>
            <w:vAlign w:val="bottom"/>
            <w:hideMark/>
          </w:tcPr>
          <w:p w14:paraId="1BBBE24F" w14:textId="77777777" w:rsidR="000D076D" w:rsidRPr="00751324" w:rsidRDefault="000D076D" w:rsidP="002A7332">
            <w:pPr>
              <w:jc w:val="center"/>
              <w:rPr>
                <w:rFonts w:ascii="Arial" w:hAnsi="Arial" w:cs="Arial"/>
                <w:color w:val="000000"/>
                <w:sz w:val="20"/>
                <w:szCs w:val="20"/>
                <w:lang w:eastAsia="en-GB"/>
              </w:rPr>
            </w:pPr>
            <w:r w:rsidRPr="00751324">
              <w:rPr>
                <w:rFonts w:ascii="Arial" w:hAnsi="Arial" w:cs="Arial"/>
                <w:color w:val="000000"/>
                <w:sz w:val="20"/>
                <w:szCs w:val="20"/>
                <w:lang w:eastAsia="en-GB"/>
              </w:rPr>
              <w:t>LBM Funding rates</w:t>
            </w:r>
          </w:p>
        </w:tc>
        <w:tc>
          <w:tcPr>
            <w:tcW w:w="2280" w:type="dxa"/>
            <w:gridSpan w:val="2"/>
            <w:tcBorders>
              <w:top w:val="single" w:sz="8" w:space="0" w:color="auto"/>
              <w:left w:val="nil"/>
              <w:bottom w:val="single" w:sz="8" w:space="0" w:color="auto"/>
              <w:right w:val="single" w:sz="8" w:space="0" w:color="000000"/>
            </w:tcBorders>
            <w:shd w:val="clear" w:color="000000" w:fill="BFBFBF"/>
            <w:noWrap/>
            <w:vAlign w:val="center"/>
            <w:hideMark/>
          </w:tcPr>
          <w:p w14:paraId="11E5C393" w14:textId="77777777" w:rsidR="000D076D" w:rsidRPr="00751324" w:rsidRDefault="000D076D" w:rsidP="002A7332">
            <w:pPr>
              <w:jc w:val="center"/>
              <w:rPr>
                <w:rFonts w:ascii="Calibri" w:hAnsi="Calibri" w:cs="Calibri"/>
                <w:color w:val="000000"/>
                <w:lang w:eastAsia="en-GB"/>
              </w:rPr>
            </w:pPr>
            <w:r w:rsidRPr="00751324">
              <w:rPr>
                <w:rFonts w:ascii="Calibri" w:hAnsi="Calibri" w:cs="Calibri"/>
                <w:color w:val="000000"/>
                <w:lang w:eastAsia="en-GB"/>
              </w:rPr>
              <w:t xml:space="preserve">N F F </w:t>
            </w:r>
          </w:p>
        </w:tc>
      </w:tr>
      <w:tr w:rsidR="000D076D" w:rsidRPr="00751324" w14:paraId="1B01E11A" w14:textId="77777777" w:rsidTr="000D076D">
        <w:trPr>
          <w:trHeight w:val="690"/>
        </w:trPr>
        <w:tc>
          <w:tcPr>
            <w:tcW w:w="2640" w:type="dxa"/>
            <w:tcBorders>
              <w:top w:val="single" w:sz="8" w:space="0" w:color="auto"/>
              <w:left w:val="single" w:sz="8" w:space="0" w:color="auto"/>
              <w:bottom w:val="nil"/>
              <w:right w:val="single" w:sz="8" w:space="0" w:color="auto"/>
            </w:tcBorders>
            <w:shd w:val="clear" w:color="000000" w:fill="FFFFFF"/>
            <w:vAlign w:val="center"/>
            <w:hideMark/>
          </w:tcPr>
          <w:p w14:paraId="4929FD65" w14:textId="77777777" w:rsidR="000D076D" w:rsidRPr="00751324" w:rsidRDefault="000D076D" w:rsidP="002A7332">
            <w:pPr>
              <w:jc w:val="center"/>
              <w:rPr>
                <w:rFonts w:ascii="Arial" w:hAnsi="Arial" w:cs="Arial"/>
                <w:color w:val="000000"/>
                <w:sz w:val="18"/>
                <w:szCs w:val="18"/>
                <w:lang w:eastAsia="en-GB"/>
              </w:rPr>
            </w:pPr>
            <w:r>
              <w:rPr>
                <w:rFonts w:ascii="Arial" w:hAnsi="Arial" w:cs="Arial"/>
                <w:color w:val="000000"/>
                <w:sz w:val="18"/>
                <w:szCs w:val="18"/>
                <w:lang w:eastAsia="en-GB"/>
              </w:rPr>
              <w:t xml:space="preserve">TABLE 2 - </w:t>
            </w:r>
            <w:r w:rsidRPr="00751324">
              <w:rPr>
                <w:rFonts w:ascii="Arial" w:hAnsi="Arial" w:cs="Arial"/>
                <w:color w:val="000000"/>
                <w:sz w:val="18"/>
                <w:szCs w:val="18"/>
                <w:lang w:eastAsia="en-GB"/>
              </w:rPr>
              <w:t>Funding Factors</w:t>
            </w:r>
          </w:p>
        </w:tc>
        <w:tc>
          <w:tcPr>
            <w:tcW w:w="967" w:type="dxa"/>
            <w:tcBorders>
              <w:top w:val="nil"/>
              <w:left w:val="nil"/>
              <w:bottom w:val="nil"/>
              <w:right w:val="single" w:sz="8" w:space="0" w:color="auto"/>
            </w:tcBorders>
            <w:shd w:val="clear" w:color="000000" w:fill="FFFFFF"/>
            <w:vAlign w:val="center"/>
            <w:hideMark/>
          </w:tcPr>
          <w:p w14:paraId="6AEADD70"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2021-22 LBM rates</w:t>
            </w:r>
          </w:p>
        </w:tc>
        <w:tc>
          <w:tcPr>
            <w:tcW w:w="1140" w:type="dxa"/>
            <w:tcBorders>
              <w:top w:val="nil"/>
              <w:left w:val="nil"/>
              <w:bottom w:val="nil"/>
              <w:right w:val="single" w:sz="8" w:space="0" w:color="auto"/>
            </w:tcBorders>
            <w:shd w:val="clear" w:color="000000" w:fill="BFBFBF"/>
            <w:vAlign w:val="center"/>
            <w:hideMark/>
          </w:tcPr>
          <w:p w14:paraId="4F3DF20B"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2021-22 NFF rates</w:t>
            </w:r>
          </w:p>
        </w:tc>
        <w:tc>
          <w:tcPr>
            <w:tcW w:w="1140" w:type="dxa"/>
            <w:tcBorders>
              <w:top w:val="nil"/>
              <w:left w:val="nil"/>
              <w:bottom w:val="nil"/>
              <w:right w:val="single" w:sz="8" w:space="0" w:color="auto"/>
            </w:tcBorders>
            <w:shd w:val="clear" w:color="000000" w:fill="BFBFBF"/>
            <w:vAlign w:val="center"/>
            <w:hideMark/>
          </w:tcPr>
          <w:p w14:paraId="167B809E"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Proposed 2022-23 NFF rates</w:t>
            </w:r>
          </w:p>
        </w:tc>
      </w:tr>
      <w:tr w:rsidR="000D076D" w:rsidRPr="00751324" w14:paraId="50B06D19" w14:textId="77777777" w:rsidTr="000D076D">
        <w:trPr>
          <w:trHeight w:val="300"/>
        </w:trPr>
        <w:tc>
          <w:tcPr>
            <w:tcW w:w="2640" w:type="dxa"/>
            <w:tcBorders>
              <w:top w:val="nil"/>
              <w:left w:val="single" w:sz="8" w:space="0" w:color="auto"/>
              <w:bottom w:val="single" w:sz="8" w:space="0" w:color="auto"/>
              <w:right w:val="single" w:sz="8" w:space="0" w:color="auto"/>
            </w:tcBorders>
            <w:shd w:val="clear" w:color="000000" w:fill="FFFFFF"/>
            <w:vAlign w:val="center"/>
            <w:hideMark/>
          </w:tcPr>
          <w:p w14:paraId="322562A9"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 </w:t>
            </w:r>
          </w:p>
        </w:tc>
        <w:tc>
          <w:tcPr>
            <w:tcW w:w="967" w:type="dxa"/>
            <w:tcBorders>
              <w:top w:val="nil"/>
              <w:left w:val="nil"/>
              <w:bottom w:val="single" w:sz="8" w:space="0" w:color="auto"/>
              <w:right w:val="single" w:sz="8" w:space="0" w:color="auto"/>
            </w:tcBorders>
            <w:shd w:val="clear" w:color="000000" w:fill="FFFFFF"/>
            <w:vAlign w:val="center"/>
            <w:hideMark/>
          </w:tcPr>
          <w:p w14:paraId="5F46BA6B"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w:t>
            </w:r>
          </w:p>
        </w:tc>
        <w:tc>
          <w:tcPr>
            <w:tcW w:w="1140" w:type="dxa"/>
            <w:tcBorders>
              <w:top w:val="nil"/>
              <w:left w:val="nil"/>
              <w:bottom w:val="single" w:sz="8" w:space="0" w:color="auto"/>
              <w:right w:val="single" w:sz="8" w:space="0" w:color="auto"/>
            </w:tcBorders>
            <w:shd w:val="clear" w:color="000000" w:fill="BFBFBF"/>
            <w:vAlign w:val="center"/>
            <w:hideMark/>
          </w:tcPr>
          <w:p w14:paraId="376A9096"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w:t>
            </w:r>
          </w:p>
        </w:tc>
        <w:tc>
          <w:tcPr>
            <w:tcW w:w="1140" w:type="dxa"/>
            <w:tcBorders>
              <w:top w:val="nil"/>
              <w:left w:val="nil"/>
              <w:bottom w:val="single" w:sz="8" w:space="0" w:color="auto"/>
              <w:right w:val="single" w:sz="8" w:space="0" w:color="auto"/>
            </w:tcBorders>
            <w:shd w:val="clear" w:color="000000" w:fill="BFBFBF"/>
            <w:vAlign w:val="center"/>
            <w:hideMark/>
          </w:tcPr>
          <w:p w14:paraId="0E398BAF"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w:t>
            </w:r>
          </w:p>
        </w:tc>
      </w:tr>
      <w:tr w:rsidR="000D076D" w:rsidRPr="00751324" w14:paraId="537731BB"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1B563E96"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AWPU-primary (R-Y6) per pupil</w:t>
            </w:r>
          </w:p>
        </w:tc>
        <w:tc>
          <w:tcPr>
            <w:tcW w:w="967" w:type="dxa"/>
            <w:tcBorders>
              <w:top w:val="nil"/>
              <w:left w:val="nil"/>
              <w:bottom w:val="single" w:sz="8" w:space="0" w:color="auto"/>
              <w:right w:val="single" w:sz="8" w:space="0" w:color="auto"/>
            </w:tcBorders>
            <w:shd w:val="clear" w:color="auto" w:fill="auto"/>
            <w:vAlign w:val="center"/>
            <w:hideMark/>
          </w:tcPr>
          <w:p w14:paraId="56ABC68D"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£3,386</w:t>
            </w:r>
          </w:p>
        </w:tc>
        <w:tc>
          <w:tcPr>
            <w:tcW w:w="1140" w:type="dxa"/>
            <w:tcBorders>
              <w:top w:val="nil"/>
              <w:left w:val="nil"/>
              <w:bottom w:val="single" w:sz="8" w:space="0" w:color="auto"/>
              <w:right w:val="single" w:sz="8" w:space="0" w:color="auto"/>
            </w:tcBorders>
            <w:shd w:val="clear" w:color="000000" w:fill="BFBFBF"/>
            <w:vAlign w:val="center"/>
            <w:hideMark/>
          </w:tcPr>
          <w:p w14:paraId="16ECE2B2"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£3,123</w:t>
            </w:r>
          </w:p>
        </w:tc>
        <w:tc>
          <w:tcPr>
            <w:tcW w:w="1140" w:type="dxa"/>
            <w:tcBorders>
              <w:top w:val="nil"/>
              <w:left w:val="nil"/>
              <w:bottom w:val="single" w:sz="8" w:space="0" w:color="auto"/>
              <w:right w:val="single" w:sz="8" w:space="0" w:color="auto"/>
            </w:tcBorders>
            <w:shd w:val="clear" w:color="000000" w:fill="BFBFBF"/>
            <w:vAlign w:val="center"/>
            <w:hideMark/>
          </w:tcPr>
          <w:p w14:paraId="18C1877B"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£3,217</w:t>
            </w:r>
          </w:p>
        </w:tc>
      </w:tr>
      <w:tr w:rsidR="000D076D" w:rsidRPr="00751324" w14:paraId="0316D142" w14:textId="77777777" w:rsidTr="000D076D">
        <w:trPr>
          <w:trHeight w:val="47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1EBBA7AE" w14:textId="77777777" w:rsidR="000D076D" w:rsidRPr="00751324" w:rsidRDefault="000D076D" w:rsidP="002A7332">
            <w:pPr>
              <w:rPr>
                <w:rFonts w:ascii="Arial" w:hAnsi="Arial" w:cs="Arial"/>
                <w:color w:val="000000"/>
                <w:sz w:val="18"/>
                <w:szCs w:val="18"/>
                <w:lang w:eastAsia="en-GB"/>
              </w:rPr>
            </w:pPr>
            <w:r w:rsidRPr="00751324">
              <w:rPr>
                <w:rFonts w:ascii="Arial" w:hAnsi="Arial" w:cs="Arial"/>
                <w:color w:val="000000"/>
                <w:sz w:val="18"/>
                <w:szCs w:val="18"/>
                <w:lang w:eastAsia="en-GB"/>
              </w:rPr>
              <w:t>AWPU-secondary (KS3) per pupil</w:t>
            </w:r>
          </w:p>
        </w:tc>
        <w:tc>
          <w:tcPr>
            <w:tcW w:w="967" w:type="dxa"/>
            <w:tcBorders>
              <w:top w:val="nil"/>
              <w:left w:val="nil"/>
              <w:bottom w:val="single" w:sz="8" w:space="0" w:color="auto"/>
              <w:right w:val="single" w:sz="8" w:space="0" w:color="auto"/>
            </w:tcBorders>
            <w:shd w:val="clear" w:color="auto" w:fill="auto"/>
            <w:vAlign w:val="center"/>
            <w:hideMark/>
          </w:tcPr>
          <w:p w14:paraId="201C8266"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£4,796</w:t>
            </w:r>
          </w:p>
        </w:tc>
        <w:tc>
          <w:tcPr>
            <w:tcW w:w="1140" w:type="dxa"/>
            <w:tcBorders>
              <w:top w:val="nil"/>
              <w:left w:val="nil"/>
              <w:bottom w:val="single" w:sz="8" w:space="0" w:color="auto"/>
              <w:right w:val="single" w:sz="8" w:space="0" w:color="auto"/>
            </w:tcBorders>
            <w:shd w:val="clear" w:color="000000" w:fill="BFBFBF"/>
            <w:vAlign w:val="center"/>
            <w:hideMark/>
          </w:tcPr>
          <w:p w14:paraId="00C341C6"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£4,404</w:t>
            </w:r>
          </w:p>
        </w:tc>
        <w:tc>
          <w:tcPr>
            <w:tcW w:w="1140" w:type="dxa"/>
            <w:tcBorders>
              <w:top w:val="nil"/>
              <w:left w:val="nil"/>
              <w:bottom w:val="single" w:sz="8" w:space="0" w:color="auto"/>
              <w:right w:val="single" w:sz="8" w:space="0" w:color="auto"/>
            </w:tcBorders>
            <w:shd w:val="clear" w:color="000000" w:fill="BFBFBF"/>
            <w:vAlign w:val="center"/>
            <w:hideMark/>
          </w:tcPr>
          <w:p w14:paraId="5DBEFDAD"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£4,536</w:t>
            </w:r>
          </w:p>
        </w:tc>
      </w:tr>
      <w:tr w:rsidR="000D076D" w:rsidRPr="00751324" w14:paraId="6388A4EA" w14:textId="77777777" w:rsidTr="000D076D">
        <w:trPr>
          <w:trHeight w:val="47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1D669623" w14:textId="77777777" w:rsidR="000D076D" w:rsidRPr="00751324" w:rsidRDefault="000D076D" w:rsidP="002A7332">
            <w:pPr>
              <w:rPr>
                <w:rFonts w:ascii="Arial" w:hAnsi="Arial" w:cs="Arial"/>
                <w:color w:val="000000"/>
                <w:sz w:val="18"/>
                <w:szCs w:val="18"/>
                <w:lang w:eastAsia="en-GB"/>
              </w:rPr>
            </w:pPr>
            <w:r w:rsidRPr="00751324">
              <w:rPr>
                <w:rFonts w:ascii="Arial" w:hAnsi="Arial" w:cs="Arial"/>
                <w:color w:val="000000"/>
                <w:sz w:val="18"/>
                <w:szCs w:val="18"/>
                <w:lang w:eastAsia="en-GB"/>
              </w:rPr>
              <w:t>AWPU-secondary (KS4) per pupil</w:t>
            </w:r>
          </w:p>
        </w:tc>
        <w:tc>
          <w:tcPr>
            <w:tcW w:w="967" w:type="dxa"/>
            <w:tcBorders>
              <w:top w:val="nil"/>
              <w:left w:val="nil"/>
              <w:bottom w:val="single" w:sz="8" w:space="0" w:color="auto"/>
              <w:right w:val="single" w:sz="8" w:space="0" w:color="auto"/>
            </w:tcBorders>
            <w:shd w:val="clear" w:color="auto" w:fill="auto"/>
            <w:vAlign w:val="center"/>
            <w:hideMark/>
          </w:tcPr>
          <w:p w14:paraId="039A894C"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£5,400</w:t>
            </w:r>
          </w:p>
        </w:tc>
        <w:tc>
          <w:tcPr>
            <w:tcW w:w="1140" w:type="dxa"/>
            <w:tcBorders>
              <w:top w:val="nil"/>
              <w:left w:val="nil"/>
              <w:bottom w:val="single" w:sz="8" w:space="0" w:color="auto"/>
              <w:right w:val="single" w:sz="8" w:space="0" w:color="auto"/>
            </w:tcBorders>
            <w:shd w:val="clear" w:color="000000" w:fill="BFBFBF"/>
            <w:vAlign w:val="center"/>
            <w:hideMark/>
          </w:tcPr>
          <w:p w14:paraId="5A91E526"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£4,963</w:t>
            </w:r>
          </w:p>
        </w:tc>
        <w:tc>
          <w:tcPr>
            <w:tcW w:w="1140" w:type="dxa"/>
            <w:tcBorders>
              <w:top w:val="nil"/>
              <w:left w:val="nil"/>
              <w:bottom w:val="single" w:sz="8" w:space="0" w:color="auto"/>
              <w:right w:val="single" w:sz="8" w:space="0" w:color="auto"/>
            </w:tcBorders>
            <w:shd w:val="clear" w:color="000000" w:fill="BFBFBF"/>
            <w:vAlign w:val="center"/>
            <w:hideMark/>
          </w:tcPr>
          <w:p w14:paraId="2A10DA04"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£5,112</w:t>
            </w:r>
          </w:p>
        </w:tc>
      </w:tr>
      <w:tr w:rsidR="000D076D" w:rsidRPr="00751324" w14:paraId="563ACC5E"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0C2BA091" w14:textId="77777777" w:rsidR="000D076D" w:rsidRPr="00751324" w:rsidRDefault="000D076D" w:rsidP="002A7332">
            <w:pPr>
              <w:rPr>
                <w:rFonts w:ascii="Arial" w:hAnsi="Arial" w:cs="Arial"/>
                <w:color w:val="000000"/>
                <w:sz w:val="18"/>
                <w:szCs w:val="18"/>
                <w:lang w:eastAsia="en-GB"/>
              </w:rPr>
            </w:pPr>
            <w:r w:rsidRPr="00751324">
              <w:rPr>
                <w:rFonts w:ascii="Arial" w:hAnsi="Arial" w:cs="Arial"/>
                <w:color w:val="000000"/>
                <w:sz w:val="18"/>
                <w:szCs w:val="18"/>
                <w:lang w:eastAsia="en-GB"/>
              </w:rPr>
              <w:t>FSM (primary/secondary)</w:t>
            </w:r>
          </w:p>
        </w:tc>
        <w:tc>
          <w:tcPr>
            <w:tcW w:w="967" w:type="dxa"/>
            <w:tcBorders>
              <w:top w:val="nil"/>
              <w:left w:val="nil"/>
              <w:bottom w:val="single" w:sz="8" w:space="0" w:color="auto"/>
              <w:right w:val="single" w:sz="8" w:space="0" w:color="auto"/>
            </w:tcBorders>
            <w:shd w:val="clear" w:color="auto" w:fill="auto"/>
            <w:vAlign w:val="center"/>
            <w:hideMark/>
          </w:tcPr>
          <w:p w14:paraId="00BBA250"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£526</w:t>
            </w:r>
          </w:p>
        </w:tc>
        <w:tc>
          <w:tcPr>
            <w:tcW w:w="1140" w:type="dxa"/>
            <w:tcBorders>
              <w:top w:val="nil"/>
              <w:left w:val="nil"/>
              <w:bottom w:val="single" w:sz="8" w:space="0" w:color="auto"/>
              <w:right w:val="single" w:sz="8" w:space="0" w:color="auto"/>
            </w:tcBorders>
            <w:shd w:val="clear" w:color="000000" w:fill="BFBFBF"/>
            <w:vAlign w:val="center"/>
            <w:hideMark/>
          </w:tcPr>
          <w:p w14:paraId="394E7D0D"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£460</w:t>
            </w:r>
          </w:p>
        </w:tc>
        <w:tc>
          <w:tcPr>
            <w:tcW w:w="1140" w:type="dxa"/>
            <w:tcBorders>
              <w:top w:val="nil"/>
              <w:left w:val="nil"/>
              <w:bottom w:val="single" w:sz="8" w:space="0" w:color="auto"/>
              <w:right w:val="single" w:sz="8" w:space="0" w:color="auto"/>
            </w:tcBorders>
            <w:shd w:val="clear" w:color="000000" w:fill="BFBFBF"/>
            <w:vAlign w:val="center"/>
            <w:hideMark/>
          </w:tcPr>
          <w:p w14:paraId="13203916"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£470</w:t>
            </w:r>
          </w:p>
        </w:tc>
      </w:tr>
      <w:tr w:rsidR="000D076D" w:rsidRPr="00751324" w14:paraId="273A8741"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28BF2803"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FSM6 (primary)</w:t>
            </w:r>
          </w:p>
        </w:tc>
        <w:tc>
          <w:tcPr>
            <w:tcW w:w="967" w:type="dxa"/>
            <w:tcBorders>
              <w:top w:val="nil"/>
              <w:left w:val="nil"/>
              <w:bottom w:val="single" w:sz="8" w:space="0" w:color="auto"/>
              <w:right w:val="single" w:sz="8" w:space="0" w:color="auto"/>
            </w:tcBorders>
            <w:shd w:val="clear" w:color="auto" w:fill="auto"/>
            <w:vAlign w:val="center"/>
            <w:hideMark/>
          </w:tcPr>
          <w:p w14:paraId="486ECA37"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£655</w:t>
            </w:r>
          </w:p>
        </w:tc>
        <w:tc>
          <w:tcPr>
            <w:tcW w:w="1140" w:type="dxa"/>
            <w:tcBorders>
              <w:top w:val="nil"/>
              <w:left w:val="nil"/>
              <w:bottom w:val="single" w:sz="8" w:space="0" w:color="auto"/>
              <w:right w:val="single" w:sz="8" w:space="0" w:color="auto"/>
            </w:tcBorders>
            <w:shd w:val="clear" w:color="000000" w:fill="BFBFBF"/>
            <w:vAlign w:val="center"/>
            <w:hideMark/>
          </w:tcPr>
          <w:p w14:paraId="5D5072A0"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£575</w:t>
            </w:r>
          </w:p>
        </w:tc>
        <w:tc>
          <w:tcPr>
            <w:tcW w:w="1140" w:type="dxa"/>
            <w:tcBorders>
              <w:top w:val="nil"/>
              <w:left w:val="nil"/>
              <w:bottom w:val="single" w:sz="8" w:space="0" w:color="auto"/>
              <w:right w:val="single" w:sz="8" w:space="0" w:color="auto"/>
            </w:tcBorders>
            <w:shd w:val="clear" w:color="000000" w:fill="BFBFBF"/>
            <w:vAlign w:val="center"/>
            <w:hideMark/>
          </w:tcPr>
          <w:p w14:paraId="724A4B60"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£590</w:t>
            </w:r>
          </w:p>
        </w:tc>
      </w:tr>
      <w:tr w:rsidR="000D076D" w:rsidRPr="00751324" w14:paraId="42E1F862"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0B639951"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FSM6 (secondary)</w:t>
            </w:r>
          </w:p>
        </w:tc>
        <w:tc>
          <w:tcPr>
            <w:tcW w:w="967" w:type="dxa"/>
            <w:tcBorders>
              <w:top w:val="nil"/>
              <w:left w:val="nil"/>
              <w:bottom w:val="single" w:sz="8" w:space="0" w:color="auto"/>
              <w:right w:val="single" w:sz="8" w:space="0" w:color="auto"/>
            </w:tcBorders>
            <w:shd w:val="clear" w:color="auto" w:fill="auto"/>
            <w:vAlign w:val="center"/>
            <w:hideMark/>
          </w:tcPr>
          <w:p w14:paraId="06FD5D98"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£953</w:t>
            </w:r>
          </w:p>
        </w:tc>
        <w:tc>
          <w:tcPr>
            <w:tcW w:w="1140" w:type="dxa"/>
            <w:tcBorders>
              <w:top w:val="nil"/>
              <w:left w:val="nil"/>
              <w:bottom w:val="single" w:sz="8" w:space="0" w:color="auto"/>
              <w:right w:val="single" w:sz="8" w:space="0" w:color="auto"/>
            </w:tcBorders>
            <w:shd w:val="clear" w:color="000000" w:fill="BFBFBF"/>
            <w:vAlign w:val="center"/>
            <w:hideMark/>
          </w:tcPr>
          <w:p w14:paraId="40FC474B"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£840</w:t>
            </w:r>
          </w:p>
        </w:tc>
        <w:tc>
          <w:tcPr>
            <w:tcW w:w="1140" w:type="dxa"/>
            <w:tcBorders>
              <w:top w:val="nil"/>
              <w:left w:val="nil"/>
              <w:bottom w:val="single" w:sz="8" w:space="0" w:color="auto"/>
              <w:right w:val="single" w:sz="8" w:space="0" w:color="auto"/>
            </w:tcBorders>
            <w:shd w:val="clear" w:color="000000" w:fill="BFBFBF"/>
            <w:vAlign w:val="center"/>
            <w:hideMark/>
          </w:tcPr>
          <w:p w14:paraId="2947CF21"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£865</w:t>
            </w:r>
          </w:p>
        </w:tc>
      </w:tr>
      <w:tr w:rsidR="000D076D" w:rsidRPr="00751324" w14:paraId="63BF5F13"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7202A7CF"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IDACI A (primary)</w:t>
            </w:r>
          </w:p>
        </w:tc>
        <w:tc>
          <w:tcPr>
            <w:tcW w:w="967" w:type="dxa"/>
            <w:tcBorders>
              <w:top w:val="nil"/>
              <w:left w:val="nil"/>
              <w:bottom w:val="single" w:sz="8" w:space="0" w:color="auto"/>
              <w:right w:val="single" w:sz="8" w:space="0" w:color="auto"/>
            </w:tcBorders>
            <w:shd w:val="clear" w:color="auto" w:fill="auto"/>
            <w:vAlign w:val="center"/>
            <w:hideMark/>
          </w:tcPr>
          <w:p w14:paraId="6AEC92BA"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£701</w:t>
            </w:r>
          </w:p>
        </w:tc>
        <w:tc>
          <w:tcPr>
            <w:tcW w:w="1140" w:type="dxa"/>
            <w:tcBorders>
              <w:top w:val="nil"/>
              <w:left w:val="nil"/>
              <w:bottom w:val="single" w:sz="8" w:space="0" w:color="auto"/>
              <w:right w:val="single" w:sz="8" w:space="0" w:color="auto"/>
            </w:tcBorders>
            <w:shd w:val="clear" w:color="000000" w:fill="BFBFBF"/>
            <w:vAlign w:val="center"/>
            <w:hideMark/>
          </w:tcPr>
          <w:p w14:paraId="10C5E462"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£620</w:t>
            </w:r>
          </w:p>
        </w:tc>
        <w:tc>
          <w:tcPr>
            <w:tcW w:w="1140" w:type="dxa"/>
            <w:tcBorders>
              <w:top w:val="nil"/>
              <w:left w:val="nil"/>
              <w:bottom w:val="single" w:sz="8" w:space="0" w:color="auto"/>
              <w:right w:val="single" w:sz="8" w:space="0" w:color="auto"/>
            </w:tcBorders>
            <w:shd w:val="clear" w:color="000000" w:fill="BFBFBF"/>
            <w:vAlign w:val="center"/>
            <w:hideMark/>
          </w:tcPr>
          <w:p w14:paraId="12D72BFE"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£640</w:t>
            </w:r>
          </w:p>
        </w:tc>
      </w:tr>
      <w:tr w:rsidR="000D076D" w:rsidRPr="00751324" w14:paraId="44FC9257"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3FAF57C2"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IDACI B (primary)</w:t>
            </w:r>
          </w:p>
        </w:tc>
        <w:tc>
          <w:tcPr>
            <w:tcW w:w="967" w:type="dxa"/>
            <w:tcBorders>
              <w:top w:val="nil"/>
              <w:left w:val="nil"/>
              <w:bottom w:val="single" w:sz="8" w:space="0" w:color="auto"/>
              <w:right w:val="single" w:sz="8" w:space="0" w:color="auto"/>
            </w:tcBorders>
            <w:shd w:val="clear" w:color="auto" w:fill="auto"/>
            <w:vAlign w:val="center"/>
            <w:hideMark/>
          </w:tcPr>
          <w:p w14:paraId="44C690FB"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£508</w:t>
            </w:r>
          </w:p>
        </w:tc>
        <w:tc>
          <w:tcPr>
            <w:tcW w:w="1140" w:type="dxa"/>
            <w:tcBorders>
              <w:top w:val="nil"/>
              <w:left w:val="nil"/>
              <w:bottom w:val="single" w:sz="8" w:space="0" w:color="auto"/>
              <w:right w:val="single" w:sz="8" w:space="0" w:color="auto"/>
            </w:tcBorders>
            <w:shd w:val="clear" w:color="000000" w:fill="BFBFBF"/>
            <w:vAlign w:val="center"/>
            <w:hideMark/>
          </w:tcPr>
          <w:p w14:paraId="10B4CF6B"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£475</w:t>
            </w:r>
          </w:p>
        </w:tc>
        <w:tc>
          <w:tcPr>
            <w:tcW w:w="1140" w:type="dxa"/>
            <w:tcBorders>
              <w:top w:val="nil"/>
              <w:left w:val="nil"/>
              <w:bottom w:val="single" w:sz="8" w:space="0" w:color="auto"/>
              <w:right w:val="single" w:sz="8" w:space="0" w:color="auto"/>
            </w:tcBorders>
            <w:shd w:val="clear" w:color="000000" w:fill="BFBFBF"/>
            <w:vAlign w:val="center"/>
            <w:hideMark/>
          </w:tcPr>
          <w:p w14:paraId="0385F45F"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£490</w:t>
            </w:r>
          </w:p>
        </w:tc>
      </w:tr>
      <w:tr w:rsidR="000D076D" w:rsidRPr="00751324" w14:paraId="520B0249"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2886E56E"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IDACI C (primary)</w:t>
            </w:r>
          </w:p>
        </w:tc>
        <w:tc>
          <w:tcPr>
            <w:tcW w:w="967" w:type="dxa"/>
            <w:tcBorders>
              <w:top w:val="nil"/>
              <w:left w:val="nil"/>
              <w:bottom w:val="single" w:sz="8" w:space="0" w:color="auto"/>
              <w:right w:val="single" w:sz="8" w:space="0" w:color="auto"/>
            </w:tcBorders>
            <w:shd w:val="clear" w:color="auto" w:fill="auto"/>
            <w:vAlign w:val="center"/>
            <w:hideMark/>
          </w:tcPr>
          <w:p w14:paraId="5A1C6DEC"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£473</w:t>
            </w:r>
          </w:p>
        </w:tc>
        <w:tc>
          <w:tcPr>
            <w:tcW w:w="1140" w:type="dxa"/>
            <w:tcBorders>
              <w:top w:val="nil"/>
              <w:left w:val="nil"/>
              <w:bottom w:val="single" w:sz="8" w:space="0" w:color="auto"/>
              <w:right w:val="single" w:sz="8" w:space="0" w:color="auto"/>
            </w:tcBorders>
            <w:shd w:val="clear" w:color="000000" w:fill="BFBFBF"/>
            <w:vAlign w:val="center"/>
            <w:hideMark/>
          </w:tcPr>
          <w:p w14:paraId="0FB1E315"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£445</w:t>
            </w:r>
          </w:p>
        </w:tc>
        <w:tc>
          <w:tcPr>
            <w:tcW w:w="1140" w:type="dxa"/>
            <w:tcBorders>
              <w:top w:val="nil"/>
              <w:left w:val="nil"/>
              <w:bottom w:val="single" w:sz="8" w:space="0" w:color="auto"/>
              <w:right w:val="single" w:sz="8" w:space="0" w:color="auto"/>
            </w:tcBorders>
            <w:shd w:val="clear" w:color="000000" w:fill="BFBFBF"/>
            <w:vAlign w:val="center"/>
            <w:hideMark/>
          </w:tcPr>
          <w:p w14:paraId="36616922"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£460</w:t>
            </w:r>
          </w:p>
        </w:tc>
      </w:tr>
      <w:tr w:rsidR="000D076D" w:rsidRPr="00751324" w14:paraId="43837E79"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0B63888F"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IDACI D (primary)</w:t>
            </w:r>
          </w:p>
        </w:tc>
        <w:tc>
          <w:tcPr>
            <w:tcW w:w="967" w:type="dxa"/>
            <w:tcBorders>
              <w:top w:val="nil"/>
              <w:left w:val="nil"/>
              <w:bottom w:val="single" w:sz="8" w:space="0" w:color="auto"/>
              <w:right w:val="single" w:sz="8" w:space="0" w:color="auto"/>
            </w:tcBorders>
            <w:shd w:val="clear" w:color="auto" w:fill="auto"/>
            <w:vAlign w:val="center"/>
            <w:hideMark/>
          </w:tcPr>
          <w:p w14:paraId="047A87DB"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£438</w:t>
            </w:r>
          </w:p>
        </w:tc>
        <w:tc>
          <w:tcPr>
            <w:tcW w:w="1140" w:type="dxa"/>
            <w:tcBorders>
              <w:top w:val="nil"/>
              <w:left w:val="nil"/>
              <w:bottom w:val="single" w:sz="8" w:space="0" w:color="auto"/>
              <w:right w:val="single" w:sz="8" w:space="0" w:color="auto"/>
            </w:tcBorders>
            <w:shd w:val="clear" w:color="000000" w:fill="BFBFBF"/>
            <w:vAlign w:val="center"/>
            <w:hideMark/>
          </w:tcPr>
          <w:p w14:paraId="6BBA8EFC"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£410</w:t>
            </w:r>
          </w:p>
        </w:tc>
        <w:tc>
          <w:tcPr>
            <w:tcW w:w="1140" w:type="dxa"/>
            <w:tcBorders>
              <w:top w:val="nil"/>
              <w:left w:val="nil"/>
              <w:bottom w:val="single" w:sz="8" w:space="0" w:color="auto"/>
              <w:right w:val="single" w:sz="8" w:space="0" w:color="auto"/>
            </w:tcBorders>
            <w:shd w:val="clear" w:color="000000" w:fill="BFBFBF"/>
            <w:vAlign w:val="center"/>
            <w:hideMark/>
          </w:tcPr>
          <w:p w14:paraId="6F0C3CC0"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£420</w:t>
            </w:r>
          </w:p>
        </w:tc>
      </w:tr>
      <w:tr w:rsidR="000D076D" w:rsidRPr="00751324" w14:paraId="23F62797"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2697B104"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IDACI E (primary)</w:t>
            </w:r>
          </w:p>
        </w:tc>
        <w:tc>
          <w:tcPr>
            <w:tcW w:w="967" w:type="dxa"/>
            <w:tcBorders>
              <w:top w:val="nil"/>
              <w:left w:val="nil"/>
              <w:bottom w:val="single" w:sz="8" w:space="0" w:color="auto"/>
              <w:right w:val="single" w:sz="8" w:space="0" w:color="auto"/>
            </w:tcBorders>
            <w:shd w:val="clear" w:color="auto" w:fill="auto"/>
            <w:vAlign w:val="center"/>
            <w:hideMark/>
          </w:tcPr>
          <w:p w14:paraId="246E9DC1"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£292</w:t>
            </w:r>
          </w:p>
        </w:tc>
        <w:tc>
          <w:tcPr>
            <w:tcW w:w="1140" w:type="dxa"/>
            <w:tcBorders>
              <w:top w:val="nil"/>
              <w:left w:val="nil"/>
              <w:bottom w:val="single" w:sz="8" w:space="0" w:color="auto"/>
              <w:right w:val="single" w:sz="8" w:space="0" w:color="auto"/>
            </w:tcBorders>
            <w:shd w:val="clear" w:color="000000" w:fill="BFBFBF"/>
            <w:vAlign w:val="center"/>
            <w:hideMark/>
          </w:tcPr>
          <w:p w14:paraId="42A6AA8A"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£260</w:t>
            </w:r>
          </w:p>
        </w:tc>
        <w:tc>
          <w:tcPr>
            <w:tcW w:w="1140" w:type="dxa"/>
            <w:tcBorders>
              <w:top w:val="nil"/>
              <w:left w:val="nil"/>
              <w:bottom w:val="single" w:sz="8" w:space="0" w:color="auto"/>
              <w:right w:val="single" w:sz="8" w:space="0" w:color="auto"/>
            </w:tcBorders>
            <w:shd w:val="clear" w:color="000000" w:fill="BFBFBF"/>
            <w:vAlign w:val="center"/>
            <w:hideMark/>
          </w:tcPr>
          <w:p w14:paraId="0EE9372B"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£270</w:t>
            </w:r>
          </w:p>
        </w:tc>
      </w:tr>
      <w:tr w:rsidR="000D076D" w:rsidRPr="00751324" w14:paraId="59BA2ACB"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3559A3D2"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IDACI F (primary)</w:t>
            </w:r>
          </w:p>
        </w:tc>
        <w:tc>
          <w:tcPr>
            <w:tcW w:w="967" w:type="dxa"/>
            <w:tcBorders>
              <w:top w:val="nil"/>
              <w:left w:val="nil"/>
              <w:bottom w:val="single" w:sz="8" w:space="0" w:color="auto"/>
              <w:right w:val="single" w:sz="8" w:space="0" w:color="auto"/>
            </w:tcBorders>
            <w:shd w:val="clear" w:color="auto" w:fill="auto"/>
            <w:vAlign w:val="center"/>
            <w:hideMark/>
          </w:tcPr>
          <w:p w14:paraId="4AEE9292"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£245</w:t>
            </w:r>
          </w:p>
        </w:tc>
        <w:tc>
          <w:tcPr>
            <w:tcW w:w="1140" w:type="dxa"/>
            <w:tcBorders>
              <w:top w:val="nil"/>
              <w:left w:val="nil"/>
              <w:bottom w:val="single" w:sz="8" w:space="0" w:color="auto"/>
              <w:right w:val="single" w:sz="8" w:space="0" w:color="auto"/>
            </w:tcBorders>
            <w:shd w:val="clear" w:color="000000" w:fill="BFBFBF"/>
            <w:vAlign w:val="center"/>
            <w:hideMark/>
          </w:tcPr>
          <w:p w14:paraId="3D79B85E"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£215</w:t>
            </w:r>
          </w:p>
        </w:tc>
        <w:tc>
          <w:tcPr>
            <w:tcW w:w="1140" w:type="dxa"/>
            <w:tcBorders>
              <w:top w:val="nil"/>
              <w:left w:val="nil"/>
              <w:bottom w:val="single" w:sz="8" w:space="0" w:color="auto"/>
              <w:right w:val="single" w:sz="8" w:space="0" w:color="auto"/>
            </w:tcBorders>
            <w:shd w:val="clear" w:color="000000" w:fill="BFBFBF"/>
            <w:vAlign w:val="center"/>
            <w:hideMark/>
          </w:tcPr>
          <w:p w14:paraId="01A2B303"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£220</w:t>
            </w:r>
          </w:p>
        </w:tc>
      </w:tr>
      <w:tr w:rsidR="000D076D" w:rsidRPr="00751324" w14:paraId="7390E3CD"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56088A22"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IDACI A (secondary)</w:t>
            </w:r>
          </w:p>
        </w:tc>
        <w:tc>
          <w:tcPr>
            <w:tcW w:w="967" w:type="dxa"/>
            <w:tcBorders>
              <w:top w:val="nil"/>
              <w:left w:val="nil"/>
              <w:bottom w:val="single" w:sz="8" w:space="0" w:color="auto"/>
              <w:right w:val="single" w:sz="8" w:space="0" w:color="auto"/>
            </w:tcBorders>
            <w:shd w:val="clear" w:color="auto" w:fill="auto"/>
            <w:vAlign w:val="center"/>
            <w:hideMark/>
          </w:tcPr>
          <w:p w14:paraId="20A81E3C"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£982</w:t>
            </w:r>
          </w:p>
        </w:tc>
        <w:tc>
          <w:tcPr>
            <w:tcW w:w="1140" w:type="dxa"/>
            <w:tcBorders>
              <w:top w:val="nil"/>
              <w:left w:val="nil"/>
              <w:bottom w:val="single" w:sz="8" w:space="0" w:color="auto"/>
              <w:right w:val="single" w:sz="8" w:space="0" w:color="auto"/>
            </w:tcBorders>
            <w:shd w:val="clear" w:color="000000" w:fill="BFBFBF"/>
            <w:vAlign w:val="center"/>
            <w:hideMark/>
          </w:tcPr>
          <w:p w14:paraId="6C9C9C24"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£865</w:t>
            </w:r>
          </w:p>
        </w:tc>
        <w:tc>
          <w:tcPr>
            <w:tcW w:w="1140" w:type="dxa"/>
            <w:tcBorders>
              <w:top w:val="nil"/>
              <w:left w:val="nil"/>
              <w:bottom w:val="single" w:sz="8" w:space="0" w:color="auto"/>
              <w:right w:val="single" w:sz="8" w:space="0" w:color="auto"/>
            </w:tcBorders>
            <w:shd w:val="clear" w:color="000000" w:fill="BFBFBF"/>
            <w:vAlign w:val="center"/>
            <w:hideMark/>
          </w:tcPr>
          <w:p w14:paraId="4F1F01B2"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£890</w:t>
            </w:r>
          </w:p>
        </w:tc>
      </w:tr>
      <w:tr w:rsidR="000D076D" w:rsidRPr="00751324" w14:paraId="4C70FB76"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18801D05"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IDACI B (secondary)</w:t>
            </w:r>
          </w:p>
        </w:tc>
        <w:tc>
          <w:tcPr>
            <w:tcW w:w="967" w:type="dxa"/>
            <w:tcBorders>
              <w:top w:val="nil"/>
              <w:left w:val="nil"/>
              <w:bottom w:val="single" w:sz="8" w:space="0" w:color="auto"/>
              <w:right w:val="single" w:sz="8" w:space="0" w:color="auto"/>
            </w:tcBorders>
            <w:shd w:val="clear" w:color="auto" w:fill="auto"/>
            <w:vAlign w:val="center"/>
            <w:hideMark/>
          </w:tcPr>
          <w:p w14:paraId="05E611E0"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£730</w:t>
            </w:r>
          </w:p>
        </w:tc>
        <w:tc>
          <w:tcPr>
            <w:tcW w:w="1140" w:type="dxa"/>
            <w:tcBorders>
              <w:top w:val="nil"/>
              <w:left w:val="nil"/>
              <w:bottom w:val="single" w:sz="8" w:space="0" w:color="auto"/>
              <w:right w:val="single" w:sz="8" w:space="0" w:color="auto"/>
            </w:tcBorders>
            <w:shd w:val="clear" w:color="000000" w:fill="BFBFBF"/>
            <w:vAlign w:val="center"/>
            <w:hideMark/>
          </w:tcPr>
          <w:p w14:paraId="664875AC"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£680</w:t>
            </w:r>
          </w:p>
        </w:tc>
        <w:tc>
          <w:tcPr>
            <w:tcW w:w="1140" w:type="dxa"/>
            <w:tcBorders>
              <w:top w:val="nil"/>
              <w:left w:val="nil"/>
              <w:bottom w:val="single" w:sz="8" w:space="0" w:color="auto"/>
              <w:right w:val="single" w:sz="8" w:space="0" w:color="auto"/>
            </w:tcBorders>
            <w:shd w:val="clear" w:color="000000" w:fill="BFBFBF"/>
            <w:vAlign w:val="center"/>
            <w:hideMark/>
          </w:tcPr>
          <w:p w14:paraId="04D72347"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£700</w:t>
            </w:r>
          </w:p>
        </w:tc>
      </w:tr>
      <w:tr w:rsidR="000D076D" w:rsidRPr="00751324" w14:paraId="64233D5D" w14:textId="77777777" w:rsidTr="000D076D">
        <w:trPr>
          <w:trHeight w:val="300"/>
        </w:trPr>
        <w:tc>
          <w:tcPr>
            <w:tcW w:w="26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56BBF33"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IDACI C (secondary)</w:t>
            </w:r>
          </w:p>
        </w:tc>
        <w:tc>
          <w:tcPr>
            <w:tcW w:w="967" w:type="dxa"/>
            <w:tcBorders>
              <w:top w:val="single" w:sz="4" w:space="0" w:color="auto"/>
              <w:left w:val="nil"/>
              <w:bottom w:val="single" w:sz="8" w:space="0" w:color="auto"/>
              <w:right w:val="single" w:sz="8" w:space="0" w:color="auto"/>
            </w:tcBorders>
            <w:shd w:val="clear" w:color="auto" w:fill="auto"/>
            <w:vAlign w:val="center"/>
            <w:hideMark/>
          </w:tcPr>
          <w:p w14:paraId="3192DF7F"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£678</w:t>
            </w:r>
          </w:p>
        </w:tc>
        <w:tc>
          <w:tcPr>
            <w:tcW w:w="1140" w:type="dxa"/>
            <w:tcBorders>
              <w:top w:val="single" w:sz="4" w:space="0" w:color="auto"/>
              <w:left w:val="nil"/>
              <w:bottom w:val="single" w:sz="8" w:space="0" w:color="auto"/>
              <w:right w:val="single" w:sz="8" w:space="0" w:color="auto"/>
            </w:tcBorders>
            <w:shd w:val="clear" w:color="000000" w:fill="BFBFBF"/>
            <w:vAlign w:val="center"/>
            <w:hideMark/>
          </w:tcPr>
          <w:p w14:paraId="6A94C80D"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£630</w:t>
            </w:r>
          </w:p>
        </w:tc>
        <w:tc>
          <w:tcPr>
            <w:tcW w:w="1140" w:type="dxa"/>
            <w:tcBorders>
              <w:top w:val="single" w:sz="4" w:space="0" w:color="auto"/>
              <w:left w:val="nil"/>
              <w:bottom w:val="single" w:sz="8" w:space="0" w:color="auto"/>
              <w:right w:val="single" w:sz="8" w:space="0" w:color="auto"/>
            </w:tcBorders>
            <w:shd w:val="clear" w:color="000000" w:fill="BFBFBF"/>
            <w:vAlign w:val="center"/>
            <w:hideMark/>
          </w:tcPr>
          <w:p w14:paraId="68CB8E69"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£650</w:t>
            </w:r>
          </w:p>
        </w:tc>
      </w:tr>
      <w:tr w:rsidR="000D076D" w:rsidRPr="00751324" w14:paraId="642D5F98"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36F61637"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IDACI D (secondary)</w:t>
            </w:r>
          </w:p>
        </w:tc>
        <w:tc>
          <w:tcPr>
            <w:tcW w:w="967" w:type="dxa"/>
            <w:tcBorders>
              <w:top w:val="nil"/>
              <w:left w:val="nil"/>
              <w:bottom w:val="single" w:sz="8" w:space="0" w:color="auto"/>
              <w:right w:val="single" w:sz="8" w:space="0" w:color="auto"/>
            </w:tcBorders>
            <w:shd w:val="clear" w:color="auto" w:fill="auto"/>
            <w:vAlign w:val="center"/>
            <w:hideMark/>
          </w:tcPr>
          <w:p w14:paraId="19BF185F"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£625</w:t>
            </w:r>
          </w:p>
        </w:tc>
        <w:tc>
          <w:tcPr>
            <w:tcW w:w="1140" w:type="dxa"/>
            <w:tcBorders>
              <w:top w:val="nil"/>
              <w:left w:val="nil"/>
              <w:bottom w:val="single" w:sz="8" w:space="0" w:color="auto"/>
              <w:right w:val="single" w:sz="8" w:space="0" w:color="auto"/>
            </w:tcBorders>
            <w:shd w:val="clear" w:color="000000" w:fill="BFBFBF"/>
            <w:vAlign w:val="center"/>
            <w:hideMark/>
          </w:tcPr>
          <w:p w14:paraId="5316A690"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£580</w:t>
            </w:r>
          </w:p>
        </w:tc>
        <w:tc>
          <w:tcPr>
            <w:tcW w:w="1140" w:type="dxa"/>
            <w:tcBorders>
              <w:top w:val="nil"/>
              <w:left w:val="nil"/>
              <w:bottom w:val="single" w:sz="8" w:space="0" w:color="auto"/>
              <w:right w:val="single" w:sz="8" w:space="0" w:color="auto"/>
            </w:tcBorders>
            <w:shd w:val="clear" w:color="000000" w:fill="BFBFBF"/>
            <w:vAlign w:val="center"/>
            <w:hideMark/>
          </w:tcPr>
          <w:p w14:paraId="2700C90B"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£595</w:t>
            </w:r>
          </w:p>
        </w:tc>
      </w:tr>
      <w:tr w:rsidR="000D076D" w:rsidRPr="00751324" w14:paraId="19F932C6"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3BB937B1"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IDACI E (secondary)</w:t>
            </w:r>
          </w:p>
        </w:tc>
        <w:tc>
          <w:tcPr>
            <w:tcW w:w="967" w:type="dxa"/>
            <w:tcBorders>
              <w:top w:val="nil"/>
              <w:left w:val="nil"/>
              <w:bottom w:val="single" w:sz="8" w:space="0" w:color="auto"/>
              <w:right w:val="single" w:sz="8" w:space="0" w:color="auto"/>
            </w:tcBorders>
            <w:shd w:val="clear" w:color="auto" w:fill="auto"/>
            <w:vAlign w:val="center"/>
            <w:hideMark/>
          </w:tcPr>
          <w:p w14:paraId="4B9A433D"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£473</w:t>
            </w:r>
          </w:p>
        </w:tc>
        <w:tc>
          <w:tcPr>
            <w:tcW w:w="1140" w:type="dxa"/>
            <w:tcBorders>
              <w:top w:val="nil"/>
              <w:left w:val="nil"/>
              <w:bottom w:val="single" w:sz="8" w:space="0" w:color="auto"/>
              <w:right w:val="single" w:sz="8" w:space="0" w:color="auto"/>
            </w:tcBorders>
            <w:shd w:val="clear" w:color="000000" w:fill="BFBFBF"/>
            <w:vAlign w:val="center"/>
            <w:hideMark/>
          </w:tcPr>
          <w:p w14:paraId="78124F00"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£415</w:t>
            </w:r>
          </w:p>
        </w:tc>
        <w:tc>
          <w:tcPr>
            <w:tcW w:w="1140" w:type="dxa"/>
            <w:tcBorders>
              <w:top w:val="nil"/>
              <w:left w:val="nil"/>
              <w:bottom w:val="single" w:sz="8" w:space="0" w:color="auto"/>
              <w:right w:val="single" w:sz="8" w:space="0" w:color="auto"/>
            </w:tcBorders>
            <w:shd w:val="clear" w:color="000000" w:fill="BFBFBF"/>
            <w:vAlign w:val="center"/>
            <w:hideMark/>
          </w:tcPr>
          <w:p w14:paraId="716DBD04"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£425</w:t>
            </w:r>
          </w:p>
        </w:tc>
      </w:tr>
      <w:tr w:rsidR="000D076D" w:rsidRPr="00751324" w14:paraId="7E36599B" w14:textId="77777777" w:rsidTr="000D076D">
        <w:trPr>
          <w:trHeight w:val="300"/>
        </w:trPr>
        <w:tc>
          <w:tcPr>
            <w:tcW w:w="2640"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81D9433"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lastRenderedPageBreak/>
              <w:t>IDACI F (secondary)</w:t>
            </w:r>
          </w:p>
        </w:tc>
        <w:tc>
          <w:tcPr>
            <w:tcW w:w="967" w:type="dxa"/>
            <w:tcBorders>
              <w:top w:val="single" w:sz="4" w:space="0" w:color="auto"/>
              <w:left w:val="nil"/>
              <w:bottom w:val="single" w:sz="8" w:space="0" w:color="auto"/>
              <w:right w:val="single" w:sz="8" w:space="0" w:color="auto"/>
            </w:tcBorders>
            <w:shd w:val="clear" w:color="auto" w:fill="auto"/>
            <w:vAlign w:val="center"/>
            <w:hideMark/>
          </w:tcPr>
          <w:p w14:paraId="71CB19D4"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£350</w:t>
            </w:r>
          </w:p>
        </w:tc>
        <w:tc>
          <w:tcPr>
            <w:tcW w:w="1140" w:type="dxa"/>
            <w:tcBorders>
              <w:top w:val="single" w:sz="4" w:space="0" w:color="auto"/>
              <w:left w:val="nil"/>
              <w:bottom w:val="single" w:sz="8" w:space="0" w:color="auto"/>
              <w:right w:val="single" w:sz="8" w:space="0" w:color="auto"/>
            </w:tcBorders>
            <w:shd w:val="clear" w:color="000000" w:fill="BFBFBF"/>
            <w:vAlign w:val="center"/>
            <w:hideMark/>
          </w:tcPr>
          <w:p w14:paraId="17AAC7CA"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£310</w:t>
            </w:r>
          </w:p>
        </w:tc>
        <w:tc>
          <w:tcPr>
            <w:tcW w:w="1140" w:type="dxa"/>
            <w:tcBorders>
              <w:top w:val="single" w:sz="4" w:space="0" w:color="auto"/>
              <w:left w:val="nil"/>
              <w:bottom w:val="single" w:sz="8" w:space="0" w:color="auto"/>
              <w:right w:val="single" w:sz="8" w:space="0" w:color="auto"/>
            </w:tcBorders>
            <w:shd w:val="clear" w:color="000000" w:fill="BFBFBF"/>
            <w:vAlign w:val="center"/>
            <w:hideMark/>
          </w:tcPr>
          <w:p w14:paraId="0DBF47E8"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£320</w:t>
            </w:r>
          </w:p>
        </w:tc>
      </w:tr>
      <w:tr w:rsidR="000D076D" w:rsidRPr="00751324" w14:paraId="75A20103"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061896B5"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Low prior attainment (primary)</w:t>
            </w:r>
          </w:p>
        </w:tc>
        <w:tc>
          <w:tcPr>
            <w:tcW w:w="967" w:type="dxa"/>
            <w:tcBorders>
              <w:top w:val="nil"/>
              <w:left w:val="nil"/>
              <w:bottom w:val="single" w:sz="8" w:space="0" w:color="auto"/>
              <w:right w:val="single" w:sz="8" w:space="0" w:color="auto"/>
            </w:tcBorders>
            <w:shd w:val="clear" w:color="auto" w:fill="auto"/>
            <w:vAlign w:val="center"/>
            <w:hideMark/>
          </w:tcPr>
          <w:p w14:paraId="785A59EB"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£1,245</w:t>
            </w:r>
          </w:p>
        </w:tc>
        <w:tc>
          <w:tcPr>
            <w:tcW w:w="1140" w:type="dxa"/>
            <w:tcBorders>
              <w:top w:val="nil"/>
              <w:left w:val="nil"/>
              <w:bottom w:val="single" w:sz="8" w:space="0" w:color="auto"/>
              <w:right w:val="single" w:sz="8" w:space="0" w:color="auto"/>
            </w:tcBorders>
            <w:shd w:val="clear" w:color="000000" w:fill="BFBFBF"/>
            <w:vAlign w:val="center"/>
            <w:hideMark/>
          </w:tcPr>
          <w:p w14:paraId="3D38871B"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£1,095</w:t>
            </w:r>
          </w:p>
        </w:tc>
        <w:tc>
          <w:tcPr>
            <w:tcW w:w="1140" w:type="dxa"/>
            <w:tcBorders>
              <w:top w:val="nil"/>
              <w:left w:val="nil"/>
              <w:bottom w:val="single" w:sz="8" w:space="0" w:color="auto"/>
              <w:right w:val="single" w:sz="8" w:space="0" w:color="auto"/>
            </w:tcBorders>
            <w:shd w:val="clear" w:color="000000" w:fill="BFBFBF"/>
            <w:vAlign w:val="center"/>
            <w:hideMark/>
          </w:tcPr>
          <w:p w14:paraId="3CA3DEAA"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£1,130</w:t>
            </w:r>
          </w:p>
        </w:tc>
      </w:tr>
      <w:tr w:rsidR="000D076D" w:rsidRPr="00751324" w14:paraId="39729397" w14:textId="77777777" w:rsidTr="000D076D">
        <w:trPr>
          <w:trHeight w:val="47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630DC773" w14:textId="77777777" w:rsidR="000D076D" w:rsidRPr="00751324" w:rsidRDefault="000D076D" w:rsidP="002A7332">
            <w:pPr>
              <w:rPr>
                <w:rFonts w:ascii="Arial" w:hAnsi="Arial" w:cs="Arial"/>
                <w:color w:val="000000"/>
                <w:sz w:val="18"/>
                <w:szCs w:val="18"/>
                <w:lang w:eastAsia="en-GB"/>
              </w:rPr>
            </w:pPr>
            <w:r w:rsidRPr="00751324">
              <w:rPr>
                <w:rFonts w:ascii="Arial" w:hAnsi="Arial" w:cs="Arial"/>
                <w:color w:val="000000"/>
                <w:sz w:val="18"/>
                <w:szCs w:val="18"/>
                <w:lang w:eastAsia="en-GB"/>
              </w:rPr>
              <w:t>Low prior attainment (secondary)</w:t>
            </w:r>
          </w:p>
        </w:tc>
        <w:tc>
          <w:tcPr>
            <w:tcW w:w="967" w:type="dxa"/>
            <w:tcBorders>
              <w:top w:val="nil"/>
              <w:left w:val="nil"/>
              <w:bottom w:val="single" w:sz="8" w:space="0" w:color="auto"/>
              <w:right w:val="single" w:sz="8" w:space="0" w:color="auto"/>
            </w:tcBorders>
            <w:shd w:val="clear" w:color="auto" w:fill="auto"/>
            <w:vAlign w:val="center"/>
            <w:hideMark/>
          </w:tcPr>
          <w:p w14:paraId="22A96E41"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£1,882</w:t>
            </w:r>
          </w:p>
        </w:tc>
        <w:tc>
          <w:tcPr>
            <w:tcW w:w="1140" w:type="dxa"/>
            <w:tcBorders>
              <w:top w:val="nil"/>
              <w:left w:val="nil"/>
              <w:bottom w:val="single" w:sz="8" w:space="0" w:color="auto"/>
              <w:right w:val="single" w:sz="8" w:space="0" w:color="auto"/>
            </w:tcBorders>
            <w:shd w:val="clear" w:color="000000" w:fill="BFBFBF"/>
            <w:vAlign w:val="center"/>
            <w:hideMark/>
          </w:tcPr>
          <w:p w14:paraId="58F78788"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£1,660</w:t>
            </w:r>
          </w:p>
        </w:tc>
        <w:tc>
          <w:tcPr>
            <w:tcW w:w="1140" w:type="dxa"/>
            <w:tcBorders>
              <w:top w:val="nil"/>
              <w:left w:val="nil"/>
              <w:bottom w:val="single" w:sz="8" w:space="0" w:color="auto"/>
              <w:right w:val="single" w:sz="8" w:space="0" w:color="auto"/>
            </w:tcBorders>
            <w:shd w:val="clear" w:color="000000" w:fill="BFBFBF"/>
            <w:vAlign w:val="center"/>
            <w:hideMark/>
          </w:tcPr>
          <w:p w14:paraId="2B175708"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£1,710</w:t>
            </w:r>
          </w:p>
        </w:tc>
      </w:tr>
      <w:tr w:rsidR="000D076D" w:rsidRPr="00751324" w14:paraId="2F0F36FF"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7B94DED8"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EAL (primary)</w:t>
            </w:r>
          </w:p>
        </w:tc>
        <w:tc>
          <w:tcPr>
            <w:tcW w:w="967" w:type="dxa"/>
            <w:tcBorders>
              <w:top w:val="nil"/>
              <w:left w:val="nil"/>
              <w:bottom w:val="single" w:sz="8" w:space="0" w:color="auto"/>
              <w:right w:val="single" w:sz="8" w:space="0" w:color="auto"/>
            </w:tcBorders>
            <w:shd w:val="clear" w:color="auto" w:fill="auto"/>
            <w:vAlign w:val="center"/>
            <w:hideMark/>
          </w:tcPr>
          <w:p w14:paraId="19360041"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£625</w:t>
            </w:r>
          </w:p>
        </w:tc>
        <w:tc>
          <w:tcPr>
            <w:tcW w:w="1140" w:type="dxa"/>
            <w:tcBorders>
              <w:top w:val="nil"/>
              <w:left w:val="nil"/>
              <w:bottom w:val="single" w:sz="8" w:space="0" w:color="auto"/>
              <w:right w:val="single" w:sz="8" w:space="0" w:color="auto"/>
            </w:tcBorders>
            <w:shd w:val="clear" w:color="000000" w:fill="BFBFBF"/>
            <w:vAlign w:val="center"/>
            <w:hideMark/>
          </w:tcPr>
          <w:p w14:paraId="47B473C9"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£550</w:t>
            </w:r>
          </w:p>
        </w:tc>
        <w:tc>
          <w:tcPr>
            <w:tcW w:w="1140" w:type="dxa"/>
            <w:tcBorders>
              <w:top w:val="nil"/>
              <w:left w:val="nil"/>
              <w:bottom w:val="single" w:sz="8" w:space="0" w:color="auto"/>
              <w:right w:val="single" w:sz="8" w:space="0" w:color="auto"/>
            </w:tcBorders>
            <w:shd w:val="clear" w:color="000000" w:fill="BFBFBF"/>
            <w:vAlign w:val="center"/>
            <w:hideMark/>
          </w:tcPr>
          <w:p w14:paraId="70CACC5E"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£565</w:t>
            </w:r>
          </w:p>
        </w:tc>
      </w:tr>
      <w:tr w:rsidR="000D076D" w:rsidRPr="00751324" w14:paraId="39F8B5E5"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75BDB06C"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EAL (secondary)</w:t>
            </w:r>
          </w:p>
        </w:tc>
        <w:tc>
          <w:tcPr>
            <w:tcW w:w="967" w:type="dxa"/>
            <w:tcBorders>
              <w:top w:val="nil"/>
              <w:left w:val="nil"/>
              <w:bottom w:val="single" w:sz="8" w:space="0" w:color="auto"/>
              <w:right w:val="single" w:sz="8" w:space="0" w:color="auto"/>
            </w:tcBorders>
            <w:shd w:val="clear" w:color="auto" w:fill="auto"/>
            <w:vAlign w:val="center"/>
            <w:hideMark/>
          </w:tcPr>
          <w:p w14:paraId="09260CA2"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£1,683</w:t>
            </w:r>
          </w:p>
        </w:tc>
        <w:tc>
          <w:tcPr>
            <w:tcW w:w="1140" w:type="dxa"/>
            <w:tcBorders>
              <w:top w:val="nil"/>
              <w:left w:val="nil"/>
              <w:bottom w:val="single" w:sz="8" w:space="0" w:color="auto"/>
              <w:right w:val="single" w:sz="8" w:space="0" w:color="auto"/>
            </w:tcBorders>
            <w:shd w:val="clear" w:color="000000" w:fill="BFBFBF"/>
            <w:vAlign w:val="center"/>
            <w:hideMark/>
          </w:tcPr>
          <w:p w14:paraId="13BF5DD3"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£1,485</w:t>
            </w:r>
          </w:p>
        </w:tc>
        <w:tc>
          <w:tcPr>
            <w:tcW w:w="1140" w:type="dxa"/>
            <w:tcBorders>
              <w:top w:val="nil"/>
              <w:left w:val="nil"/>
              <w:bottom w:val="single" w:sz="8" w:space="0" w:color="auto"/>
              <w:right w:val="single" w:sz="8" w:space="0" w:color="auto"/>
            </w:tcBorders>
            <w:shd w:val="clear" w:color="000000" w:fill="BFBFBF"/>
            <w:vAlign w:val="center"/>
            <w:hideMark/>
          </w:tcPr>
          <w:p w14:paraId="2F7F1942"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£1,530</w:t>
            </w:r>
          </w:p>
        </w:tc>
      </w:tr>
      <w:tr w:rsidR="000D076D" w:rsidRPr="00751324" w14:paraId="7465BAAE"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1566DF85"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Mobility (primary)</w:t>
            </w:r>
          </w:p>
        </w:tc>
        <w:tc>
          <w:tcPr>
            <w:tcW w:w="967" w:type="dxa"/>
            <w:tcBorders>
              <w:top w:val="nil"/>
              <w:left w:val="nil"/>
              <w:bottom w:val="single" w:sz="8" w:space="0" w:color="auto"/>
              <w:right w:val="single" w:sz="8" w:space="0" w:color="auto"/>
            </w:tcBorders>
            <w:shd w:val="clear" w:color="auto" w:fill="auto"/>
            <w:vAlign w:val="center"/>
            <w:hideMark/>
          </w:tcPr>
          <w:p w14:paraId="2699B62D"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£1,023</w:t>
            </w:r>
          </w:p>
        </w:tc>
        <w:tc>
          <w:tcPr>
            <w:tcW w:w="1140" w:type="dxa"/>
            <w:tcBorders>
              <w:top w:val="nil"/>
              <w:left w:val="nil"/>
              <w:bottom w:val="single" w:sz="8" w:space="0" w:color="auto"/>
              <w:right w:val="single" w:sz="8" w:space="0" w:color="auto"/>
            </w:tcBorders>
            <w:shd w:val="clear" w:color="000000" w:fill="BFBFBF"/>
            <w:vAlign w:val="center"/>
            <w:hideMark/>
          </w:tcPr>
          <w:p w14:paraId="71EEB369"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£900</w:t>
            </w:r>
          </w:p>
        </w:tc>
        <w:tc>
          <w:tcPr>
            <w:tcW w:w="1140" w:type="dxa"/>
            <w:tcBorders>
              <w:top w:val="nil"/>
              <w:left w:val="nil"/>
              <w:bottom w:val="single" w:sz="8" w:space="0" w:color="auto"/>
              <w:right w:val="single" w:sz="8" w:space="0" w:color="auto"/>
            </w:tcBorders>
            <w:shd w:val="clear" w:color="000000" w:fill="BFBFBF"/>
            <w:vAlign w:val="center"/>
            <w:hideMark/>
          </w:tcPr>
          <w:p w14:paraId="6D65C5E4"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£925</w:t>
            </w:r>
          </w:p>
        </w:tc>
      </w:tr>
      <w:tr w:rsidR="000D076D" w:rsidRPr="00751324" w14:paraId="0C13C590"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7DB792FA"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Mobility (secondary)</w:t>
            </w:r>
          </w:p>
        </w:tc>
        <w:tc>
          <w:tcPr>
            <w:tcW w:w="967" w:type="dxa"/>
            <w:tcBorders>
              <w:top w:val="nil"/>
              <w:left w:val="nil"/>
              <w:bottom w:val="single" w:sz="8" w:space="0" w:color="auto"/>
              <w:right w:val="single" w:sz="8" w:space="0" w:color="auto"/>
            </w:tcBorders>
            <w:shd w:val="clear" w:color="auto" w:fill="auto"/>
            <w:vAlign w:val="center"/>
            <w:hideMark/>
          </w:tcPr>
          <w:p w14:paraId="068E8513"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£1,461</w:t>
            </w:r>
          </w:p>
        </w:tc>
        <w:tc>
          <w:tcPr>
            <w:tcW w:w="1140" w:type="dxa"/>
            <w:tcBorders>
              <w:top w:val="nil"/>
              <w:left w:val="nil"/>
              <w:bottom w:val="single" w:sz="8" w:space="0" w:color="auto"/>
              <w:right w:val="single" w:sz="8" w:space="0" w:color="auto"/>
            </w:tcBorders>
            <w:shd w:val="clear" w:color="000000" w:fill="BFBFBF"/>
            <w:vAlign w:val="center"/>
            <w:hideMark/>
          </w:tcPr>
          <w:p w14:paraId="2493CDF2"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£1,290</w:t>
            </w:r>
          </w:p>
        </w:tc>
        <w:tc>
          <w:tcPr>
            <w:tcW w:w="1140" w:type="dxa"/>
            <w:tcBorders>
              <w:top w:val="nil"/>
              <w:left w:val="nil"/>
              <w:bottom w:val="single" w:sz="8" w:space="0" w:color="auto"/>
              <w:right w:val="single" w:sz="8" w:space="0" w:color="auto"/>
            </w:tcBorders>
            <w:shd w:val="clear" w:color="000000" w:fill="BFBFBF"/>
            <w:vAlign w:val="center"/>
            <w:hideMark/>
          </w:tcPr>
          <w:p w14:paraId="55507E8D"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£1,330</w:t>
            </w:r>
          </w:p>
        </w:tc>
      </w:tr>
      <w:tr w:rsidR="000D076D" w:rsidRPr="00751324" w14:paraId="3C8B8918" w14:textId="77777777" w:rsidTr="000D076D">
        <w:trPr>
          <w:trHeight w:val="35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6D8ECCB9"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Lump sum (both sectors)</w:t>
            </w:r>
          </w:p>
        </w:tc>
        <w:tc>
          <w:tcPr>
            <w:tcW w:w="967" w:type="dxa"/>
            <w:tcBorders>
              <w:top w:val="nil"/>
              <w:left w:val="nil"/>
              <w:bottom w:val="single" w:sz="8" w:space="0" w:color="auto"/>
              <w:right w:val="single" w:sz="8" w:space="0" w:color="auto"/>
            </w:tcBorders>
            <w:shd w:val="clear" w:color="auto" w:fill="auto"/>
            <w:vAlign w:val="center"/>
            <w:hideMark/>
          </w:tcPr>
          <w:p w14:paraId="1A50C3E1"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£133,000</w:t>
            </w:r>
          </w:p>
        </w:tc>
        <w:tc>
          <w:tcPr>
            <w:tcW w:w="1140" w:type="dxa"/>
            <w:tcBorders>
              <w:top w:val="nil"/>
              <w:left w:val="nil"/>
              <w:bottom w:val="single" w:sz="8" w:space="0" w:color="auto"/>
              <w:right w:val="single" w:sz="8" w:space="0" w:color="auto"/>
            </w:tcBorders>
            <w:shd w:val="clear" w:color="000000" w:fill="BFBFBF"/>
            <w:vAlign w:val="center"/>
            <w:hideMark/>
          </w:tcPr>
          <w:p w14:paraId="27774D28"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£117,800</w:t>
            </w:r>
          </w:p>
        </w:tc>
        <w:tc>
          <w:tcPr>
            <w:tcW w:w="1140" w:type="dxa"/>
            <w:tcBorders>
              <w:top w:val="nil"/>
              <w:left w:val="nil"/>
              <w:bottom w:val="single" w:sz="8" w:space="0" w:color="auto"/>
              <w:right w:val="single" w:sz="8" w:space="0" w:color="auto"/>
            </w:tcBorders>
            <w:shd w:val="clear" w:color="000000" w:fill="BFBFBF"/>
            <w:vAlign w:val="center"/>
            <w:hideMark/>
          </w:tcPr>
          <w:p w14:paraId="26D7B6C6"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£121,300</w:t>
            </w:r>
          </w:p>
        </w:tc>
      </w:tr>
      <w:tr w:rsidR="000D076D" w:rsidRPr="00751324" w14:paraId="1D9833B1"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50173C47"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Sparsity (primary)</w:t>
            </w:r>
          </w:p>
        </w:tc>
        <w:tc>
          <w:tcPr>
            <w:tcW w:w="967" w:type="dxa"/>
            <w:tcBorders>
              <w:top w:val="nil"/>
              <w:left w:val="nil"/>
              <w:bottom w:val="single" w:sz="8" w:space="0" w:color="auto"/>
              <w:right w:val="single" w:sz="8" w:space="0" w:color="auto"/>
            </w:tcBorders>
            <w:shd w:val="clear" w:color="auto" w:fill="auto"/>
            <w:vAlign w:val="center"/>
            <w:hideMark/>
          </w:tcPr>
          <w:p w14:paraId="2670527A"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n/a</w:t>
            </w:r>
          </w:p>
        </w:tc>
        <w:tc>
          <w:tcPr>
            <w:tcW w:w="1140" w:type="dxa"/>
            <w:tcBorders>
              <w:top w:val="nil"/>
              <w:left w:val="nil"/>
              <w:bottom w:val="single" w:sz="8" w:space="0" w:color="auto"/>
              <w:right w:val="single" w:sz="8" w:space="0" w:color="auto"/>
            </w:tcBorders>
            <w:shd w:val="clear" w:color="000000" w:fill="BFBFBF"/>
            <w:vAlign w:val="center"/>
            <w:hideMark/>
          </w:tcPr>
          <w:p w14:paraId="3E18CE43"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£45,000</w:t>
            </w:r>
          </w:p>
        </w:tc>
        <w:tc>
          <w:tcPr>
            <w:tcW w:w="1140" w:type="dxa"/>
            <w:tcBorders>
              <w:top w:val="nil"/>
              <w:left w:val="nil"/>
              <w:bottom w:val="single" w:sz="8" w:space="0" w:color="auto"/>
              <w:right w:val="single" w:sz="8" w:space="0" w:color="auto"/>
            </w:tcBorders>
            <w:shd w:val="clear" w:color="000000" w:fill="BFBFBF"/>
            <w:vAlign w:val="center"/>
            <w:hideMark/>
          </w:tcPr>
          <w:p w14:paraId="58ADC62B"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£55,000</w:t>
            </w:r>
          </w:p>
        </w:tc>
      </w:tr>
      <w:tr w:rsidR="000D076D" w:rsidRPr="00751324" w14:paraId="4AF08F52"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7303DF7F"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Sparsity (secondary)</w:t>
            </w:r>
          </w:p>
        </w:tc>
        <w:tc>
          <w:tcPr>
            <w:tcW w:w="967" w:type="dxa"/>
            <w:tcBorders>
              <w:top w:val="nil"/>
              <w:left w:val="nil"/>
              <w:bottom w:val="single" w:sz="8" w:space="0" w:color="auto"/>
              <w:right w:val="single" w:sz="8" w:space="0" w:color="auto"/>
            </w:tcBorders>
            <w:shd w:val="clear" w:color="auto" w:fill="auto"/>
            <w:vAlign w:val="center"/>
            <w:hideMark/>
          </w:tcPr>
          <w:p w14:paraId="76A1EEF0"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n/a</w:t>
            </w:r>
          </w:p>
        </w:tc>
        <w:tc>
          <w:tcPr>
            <w:tcW w:w="1140" w:type="dxa"/>
            <w:tcBorders>
              <w:top w:val="nil"/>
              <w:left w:val="nil"/>
              <w:bottom w:val="single" w:sz="8" w:space="0" w:color="auto"/>
              <w:right w:val="single" w:sz="8" w:space="0" w:color="auto"/>
            </w:tcBorders>
            <w:shd w:val="clear" w:color="000000" w:fill="BFBFBF"/>
            <w:vAlign w:val="center"/>
            <w:hideMark/>
          </w:tcPr>
          <w:p w14:paraId="3D586B4B"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£70,000</w:t>
            </w:r>
          </w:p>
        </w:tc>
        <w:tc>
          <w:tcPr>
            <w:tcW w:w="1140" w:type="dxa"/>
            <w:tcBorders>
              <w:top w:val="nil"/>
              <w:left w:val="nil"/>
              <w:bottom w:val="single" w:sz="8" w:space="0" w:color="auto"/>
              <w:right w:val="single" w:sz="8" w:space="0" w:color="auto"/>
            </w:tcBorders>
            <w:shd w:val="clear" w:color="000000" w:fill="BFBFBF"/>
            <w:vAlign w:val="center"/>
            <w:hideMark/>
          </w:tcPr>
          <w:p w14:paraId="0418EAB3"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£80,000</w:t>
            </w:r>
          </w:p>
        </w:tc>
      </w:tr>
      <w:tr w:rsidR="000D076D" w:rsidRPr="00751324" w14:paraId="2750D911" w14:textId="77777777" w:rsidTr="000D076D">
        <w:trPr>
          <w:trHeight w:val="47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09B722C5"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PFI (RPIX) %</w:t>
            </w:r>
          </w:p>
        </w:tc>
        <w:tc>
          <w:tcPr>
            <w:tcW w:w="967" w:type="dxa"/>
            <w:tcBorders>
              <w:top w:val="nil"/>
              <w:left w:val="nil"/>
              <w:bottom w:val="single" w:sz="8" w:space="0" w:color="auto"/>
              <w:right w:val="single" w:sz="8" w:space="0" w:color="auto"/>
            </w:tcBorders>
            <w:shd w:val="clear" w:color="auto" w:fill="auto"/>
            <w:vAlign w:val="center"/>
            <w:hideMark/>
          </w:tcPr>
          <w:p w14:paraId="51BD9B35"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Within contract</w:t>
            </w:r>
          </w:p>
        </w:tc>
        <w:tc>
          <w:tcPr>
            <w:tcW w:w="1140" w:type="dxa"/>
            <w:tcBorders>
              <w:top w:val="nil"/>
              <w:left w:val="nil"/>
              <w:bottom w:val="single" w:sz="8" w:space="0" w:color="auto"/>
              <w:right w:val="single" w:sz="8" w:space="0" w:color="auto"/>
            </w:tcBorders>
            <w:shd w:val="clear" w:color="000000" w:fill="BFBFBF"/>
            <w:vAlign w:val="center"/>
            <w:hideMark/>
          </w:tcPr>
          <w:p w14:paraId="71F83092"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1.56%</w:t>
            </w:r>
          </w:p>
        </w:tc>
        <w:tc>
          <w:tcPr>
            <w:tcW w:w="1140" w:type="dxa"/>
            <w:tcBorders>
              <w:top w:val="nil"/>
              <w:left w:val="nil"/>
              <w:bottom w:val="single" w:sz="8" w:space="0" w:color="auto"/>
              <w:right w:val="single" w:sz="8" w:space="0" w:color="auto"/>
            </w:tcBorders>
            <w:shd w:val="clear" w:color="000000" w:fill="BFBFBF"/>
            <w:vAlign w:val="center"/>
            <w:hideMark/>
          </w:tcPr>
          <w:p w14:paraId="596C3597"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tbc</w:t>
            </w:r>
          </w:p>
        </w:tc>
      </w:tr>
      <w:tr w:rsidR="000D076D" w:rsidRPr="00751324" w14:paraId="2E82E41F" w14:textId="77777777" w:rsidTr="000D076D">
        <w:trPr>
          <w:trHeight w:val="300"/>
        </w:trPr>
        <w:tc>
          <w:tcPr>
            <w:tcW w:w="2640" w:type="dxa"/>
            <w:tcBorders>
              <w:top w:val="nil"/>
              <w:left w:val="single" w:sz="8" w:space="0" w:color="auto"/>
              <w:bottom w:val="single" w:sz="8" w:space="0" w:color="auto"/>
              <w:right w:val="single" w:sz="8" w:space="0" w:color="auto"/>
            </w:tcBorders>
            <w:shd w:val="clear" w:color="auto" w:fill="auto"/>
            <w:vAlign w:val="center"/>
            <w:hideMark/>
          </w:tcPr>
          <w:p w14:paraId="63A43AA3" w14:textId="77777777" w:rsidR="000D076D" w:rsidRPr="00751324" w:rsidRDefault="000D076D" w:rsidP="002A7332">
            <w:pPr>
              <w:jc w:val="both"/>
              <w:rPr>
                <w:rFonts w:ascii="Arial" w:hAnsi="Arial" w:cs="Arial"/>
                <w:color w:val="000000"/>
                <w:sz w:val="18"/>
                <w:szCs w:val="18"/>
                <w:lang w:eastAsia="en-GB"/>
              </w:rPr>
            </w:pPr>
            <w:r w:rsidRPr="00751324">
              <w:rPr>
                <w:rFonts w:ascii="Arial" w:hAnsi="Arial" w:cs="Arial"/>
                <w:color w:val="000000"/>
                <w:sz w:val="18"/>
                <w:szCs w:val="18"/>
                <w:lang w:eastAsia="en-GB"/>
              </w:rPr>
              <w:t>MFG</w:t>
            </w:r>
          </w:p>
        </w:tc>
        <w:tc>
          <w:tcPr>
            <w:tcW w:w="967" w:type="dxa"/>
            <w:tcBorders>
              <w:top w:val="nil"/>
              <w:left w:val="nil"/>
              <w:bottom w:val="single" w:sz="8" w:space="0" w:color="auto"/>
              <w:right w:val="single" w:sz="8" w:space="0" w:color="auto"/>
            </w:tcBorders>
            <w:shd w:val="clear" w:color="auto" w:fill="auto"/>
            <w:vAlign w:val="center"/>
            <w:hideMark/>
          </w:tcPr>
          <w:p w14:paraId="2E6A7AC6"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-1.91%</w:t>
            </w:r>
          </w:p>
        </w:tc>
        <w:tc>
          <w:tcPr>
            <w:tcW w:w="1140" w:type="dxa"/>
            <w:tcBorders>
              <w:top w:val="nil"/>
              <w:left w:val="nil"/>
              <w:bottom w:val="single" w:sz="8" w:space="0" w:color="auto"/>
              <w:right w:val="single" w:sz="8" w:space="0" w:color="auto"/>
            </w:tcBorders>
            <w:shd w:val="clear" w:color="000000" w:fill="BFBFBF"/>
            <w:noWrap/>
            <w:vAlign w:val="center"/>
            <w:hideMark/>
          </w:tcPr>
          <w:p w14:paraId="45F4C590"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-0.5% to -2%</w:t>
            </w:r>
          </w:p>
        </w:tc>
        <w:tc>
          <w:tcPr>
            <w:tcW w:w="1140" w:type="dxa"/>
            <w:tcBorders>
              <w:top w:val="nil"/>
              <w:left w:val="nil"/>
              <w:bottom w:val="single" w:sz="8" w:space="0" w:color="auto"/>
              <w:right w:val="single" w:sz="8" w:space="0" w:color="auto"/>
            </w:tcBorders>
            <w:shd w:val="clear" w:color="000000" w:fill="BFBFBF"/>
            <w:noWrap/>
            <w:vAlign w:val="center"/>
            <w:hideMark/>
          </w:tcPr>
          <w:p w14:paraId="5A4BF1AA" w14:textId="77777777" w:rsidR="000D076D" w:rsidRPr="00751324" w:rsidRDefault="000D076D" w:rsidP="002A7332">
            <w:pPr>
              <w:jc w:val="center"/>
              <w:rPr>
                <w:rFonts w:ascii="Arial" w:hAnsi="Arial" w:cs="Arial"/>
                <w:color w:val="000000"/>
                <w:sz w:val="18"/>
                <w:szCs w:val="18"/>
                <w:lang w:eastAsia="en-GB"/>
              </w:rPr>
            </w:pPr>
            <w:r w:rsidRPr="00751324">
              <w:rPr>
                <w:rFonts w:ascii="Arial" w:hAnsi="Arial" w:cs="Arial"/>
                <w:color w:val="000000"/>
                <w:sz w:val="18"/>
                <w:szCs w:val="18"/>
                <w:lang w:eastAsia="en-GB"/>
              </w:rPr>
              <w:t>-0.5% to -2%</w:t>
            </w:r>
          </w:p>
        </w:tc>
      </w:tr>
    </w:tbl>
    <w:p w14:paraId="6E76392C" w14:textId="77777777" w:rsidR="000D076D" w:rsidRPr="00E974FA" w:rsidRDefault="000D076D" w:rsidP="000D076D">
      <w:pPr>
        <w:tabs>
          <w:tab w:val="left" w:pos="1150"/>
        </w:tabs>
        <w:rPr>
          <w:rFonts w:cstheme="minorHAnsi"/>
          <w:sz w:val="28"/>
          <w:szCs w:val="28"/>
        </w:rPr>
      </w:pPr>
    </w:p>
    <w:p w14:paraId="487C4ADD" w14:textId="77777777" w:rsidR="000D076D" w:rsidRDefault="000D076D" w:rsidP="000D076D">
      <w:pPr>
        <w:pStyle w:val="Default"/>
        <w:jc w:val="both"/>
        <w:rPr>
          <w:rFonts w:asciiTheme="minorHAnsi" w:hAnsiTheme="minorHAnsi" w:cstheme="minorHAnsi"/>
          <w:sz w:val="28"/>
          <w:szCs w:val="28"/>
        </w:rPr>
      </w:pPr>
    </w:p>
    <w:p w14:paraId="6350E01E" w14:textId="77777777" w:rsidR="000D076D" w:rsidRPr="000D076D" w:rsidRDefault="000D076D" w:rsidP="000D076D">
      <w:pPr>
        <w:pStyle w:val="Default"/>
        <w:jc w:val="both"/>
        <w:rPr>
          <w:rFonts w:ascii="Times New Roman" w:hAnsi="Times New Roman" w:cs="Times New Roman"/>
          <w:sz w:val="28"/>
          <w:szCs w:val="28"/>
        </w:rPr>
      </w:pPr>
      <w:r w:rsidRPr="000D076D">
        <w:rPr>
          <w:rFonts w:ascii="Times New Roman" w:hAnsi="Times New Roman" w:cs="Times New Roman"/>
          <w:sz w:val="28"/>
          <w:szCs w:val="28"/>
        </w:rPr>
        <w:t xml:space="preserve">The hard NFF would allocate most of the funding that mainstream schools receive for pupils aged 5 to 16 – but not </w:t>
      </w:r>
      <w:r w:rsidRPr="000D076D">
        <w:rPr>
          <w:rFonts w:ascii="Times New Roman" w:hAnsi="Times New Roman" w:cs="Times New Roman"/>
          <w:b/>
          <w:bCs/>
          <w:sz w:val="28"/>
          <w:szCs w:val="28"/>
          <w:u w:val="single"/>
        </w:rPr>
        <w:t>all</w:t>
      </w:r>
      <w:r w:rsidRPr="000D076D">
        <w:rPr>
          <w:rFonts w:ascii="Times New Roman" w:hAnsi="Times New Roman" w:cs="Times New Roman"/>
          <w:sz w:val="28"/>
          <w:szCs w:val="28"/>
        </w:rPr>
        <w:t xml:space="preserve"> of their funding. This consultation does not consider the future of funding that is not determined by the NFF, such as the pupil premium (additional funding for disadvantaged pupils) and the recent grants to support schools’ recovery provision as a result of the pandemic. </w:t>
      </w:r>
    </w:p>
    <w:p w14:paraId="30B2C4F4" w14:textId="77777777" w:rsidR="000D076D" w:rsidRPr="00DA4C0F" w:rsidRDefault="000D076D" w:rsidP="000D076D"/>
    <w:p w14:paraId="553A8740" w14:textId="77777777" w:rsidR="000D076D" w:rsidRDefault="000D076D" w:rsidP="000D076D">
      <w:pPr>
        <w:pStyle w:val="Heading1"/>
      </w:pPr>
      <w:r>
        <w:t>Consultation questions</w:t>
      </w:r>
    </w:p>
    <w:p w14:paraId="41638E72" w14:textId="77777777" w:rsidR="000D076D" w:rsidRDefault="000D076D" w:rsidP="000D076D">
      <w:pPr>
        <w:pBdr>
          <w:top w:val="single" w:sz="4" w:space="1" w:color="auto"/>
          <w:left w:val="single" w:sz="4" w:space="4" w:color="auto"/>
          <w:bottom w:val="single" w:sz="4" w:space="1" w:color="auto"/>
          <w:right w:val="single" w:sz="4" w:space="4" w:color="auto"/>
        </w:pBdr>
        <w:jc w:val="both"/>
        <w:rPr>
          <w:b/>
          <w:bCs/>
          <w:i/>
          <w:iCs/>
          <w:sz w:val="23"/>
          <w:szCs w:val="23"/>
        </w:rPr>
      </w:pPr>
      <w:r w:rsidRPr="00461D30">
        <w:rPr>
          <w:b/>
          <w:bCs/>
          <w:i/>
          <w:iCs/>
          <w:sz w:val="23"/>
          <w:szCs w:val="23"/>
        </w:rPr>
        <w:t>Question 1: Do you agree that our aim should be that the directly applied NFF should include all pupil-led and school-led funding factors and that all funding distributed by the NFF should be allocated to schools on the basis of the hard formula, without further local adjustment through local formulae?</w:t>
      </w:r>
    </w:p>
    <w:p w14:paraId="012456DD" w14:textId="77777777" w:rsidR="000D076D" w:rsidRDefault="000D076D" w:rsidP="000D076D">
      <w:pPr>
        <w:jc w:val="both"/>
        <w:rPr>
          <w:rFonts w:cstheme="minorHAnsi"/>
          <w:sz w:val="28"/>
          <w:szCs w:val="28"/>
        </w:rPr>
      </w:pPr>
    </w:p>
    <w:p w14:paraId="235C9058" w14:textId="3AFC6E68" w:rsidR="000D076D" w:rsidRPr="000D076D" w:rsidRDefault="000D076D" w:rsidP="000D076D">
      <w:pPr>
        <w:jc w:val="both"/>
        <w:rPr>
          <w:sz w:val="28"/>
          <w:szCs w:val="28"/>
        </w:rPr>
      </w:pPr>
      <w:r w:rsidRPr="000D076D">
        <w:rPr>
          <w:sz w:val="28"/>
          <w:szCs w:val="28"/>
        </w:rPr>
        <w:t>All NFF funding factors, pupil-led and school-led in the hard formula will be distributed by the NFF and allocated to schools based on the hard formula, without further local adjustment through local formulae.</w:t>
      </w:r>
    </w:p>
    <w:p w14:paraId="311A4D25" w14:textId="77777777" w:rsidR="000D076D" w:rsidRPr="000D076D" w:rsidRDefault="000D076D" w:rsidP="000D076D">
      <w:pPr>
        <w:pStyle w:val="Default"/>
        <w:jc w:val="both"/>
        <w:rPr>
          <w:rFonts w:ascii="Times New Roman" w:hAnsi="Times New Roman" w:cs="Times New Roman"/>
          <w:sz w:val="28"/>
          <w:szCs w:val="28"/>
        </w:rPr>
      </w:pPr>
      <w:r w:rsidRPr="000D076D">
        <w:rPr>
          <w:rFonts w:ascii="Times New Roman" w:hAnsi="Times New Roman" w:cs="Times New Roman"/>
          <w:sz w:val="28"/>
          <w:szCs w:val="28"/>
        </w:rPr>
        <w:t xml:space="preserve">Schools’ funding allocations include an area cost adjustment (ACA) designed to ensure that the funding allocations reflect local labour market costs. </w:t>
      </w:r>
    </w:p>
    <w:p w14:paraId="590E61BA" w14:textId="77777777" w:rsidR="000D076D" w:rsidRPr="000D076D" w:rsidRDefault="000D076D" w:rsidP="000D076D">
      <w:pPr>
        <w:pStyle w:val="Default"/>
        <w:jc w:val="both"/>
        <w:rPr>
          <w:rFonts w:ascii="Times New Roman" w:hAnsi="Times New Roman" w:cs="Times New Roman"/>
          <w:sz w:val="28"/>
          <w:szCs w:val="28"/>
        </w:rPr>
      </w:pPr>
    </w:p>
    <w:p w14:paraId="17C7FBE2" w14:textId="77777777" w:rsidR="000D076D" w:rsidRPr="000D076D" w:rsidRDefault="000D076D" w:rsidP="000D076D">
      <w:pPr>
        <w:jc w:val="both"/>
        <w:rPr>
          <w:sz w:val="28"/>
          <w:szCs w:val="28"/>
        </w:rPr>
      </w:pPr>
      <w:r w:rsidRPr="000D076D">
        <w:rPr>
          <w:sz w:val="28"/>
          <w:szCs w:val="28"/>
        </w:rPr>
        <w:t>The overall proposal, therefore, subject to the further development of premises and growth funding factors, is to include these.</w:t>
      </w:r>
    </w:p>
    <w:p w14:paraId="10EB3126" w14:textId="77777777" w:rsidR="000D076D" w:rsidRDefault="000D076D" w:rsidP="000D076D">
      <w:pPr>
        <w:pStyle w:val="Heading2"/>
      </w:pPr>
    </w:p>
    <w:p w14:paraId="6E16C260" w14:textId="2B4F0122" w:rsidR="000D076D" w:rsidRDefault="000D076D" w:rsidP="000D076D">
      <w:pPr>
        <w:pStyle w:val="Heading2"/>
      </w:pPr>
      <w:r>
        <w:t>Response</w:t>
      </w:r>
    </w:p>
    <w:p w14:paraId="7A2BBC55" w14:textId="77777777" w:rsidR="000D076D" w:rsidRDefault="000D076D" w:rsidP="000D076D">
      <w:pPr>
        <w:jc w:val="both"/>
        <w:rPr>
          <w:rFonts w:cstheme="minorHAnsi"/>
          <w:sz w:val="28"/>
          <w:szCs w:val="28"/>
        </w:rPr>
      </w:pPr>
      <w:r>
        <w:rPr>
          <w:rFonts w:cstheme="minorHAnsi"/>
          <w:sz w:val="28"/>
          <w:szCs w:val="28"/>
        </w:rPr>
        <w:t xml:space="preserve">LBM has experienced significant growth within the area for SEN placements and operate working in collaboration with schools and Schools’ Forum a growth strategy that currently the school block funding is top sliced in support.  The ESFA would not have local business knowledge of the LA Pupil Place Strategy </w:t>
      </w:r>
      <w:r>
        <w:rPr>
          <w:rFonts w:cstheme="minorHAnsi"/>
          <w:sz w:val="28"/>
          <w:szCs w:val="28"/>
        </w:rPr>
        <w:lastRenderedPageBreak/>
        <w:t>and planned growth for the next financial year and foreseen anticipated changes during the year.  The NFF hard formula would still require `local business intelligence’ on school places and growth including high demand for SEN places but this is not funded from the school block of via the formula.</w:t>
      </w:r>
    </w:p>
    <w:p w14:paraId="7AE4F299" w14:textId="77777777" w:rsidR="000D076D" w:rsidRDefault="000D076D" w:rsidP="000D076D">
      <w:pPr>
        <w:jc w:val="both"/>
        <w:rPr>
          <w:rFonts w:cstheme="minorHAnsi"/>
          <w:sz w:val="28"/>
          <w:szCs w:val="28"/>
        </w:rPr>
      </w:pPr>
    </w:p>
    <w:p w14:paraId="3C3BE32D" w14:textId="77777777" w:rsidR="000D076D" w:rsidRPr="006A6E83" w:rsidRDefault="000D076D" w:rsidP="000D076D">
      <w:pPr>
        <w:pBdr>
          <w:top w:val="single" w:sz="4" w:space="1" w:color="auto"/>
          <w:left w:val="single" w:sz="4" w:space="4" w:color="auto"/>
          <w:bottom w:val="single" w:sz="4" w:space="1" w:color="auto"/>
          <w:right w:val="single" w:sz="4" w:space="4" w:color="auto"/>
        </w:pBdr>
        <w:rPr>
          <w:b/>
          <w:bCs/>
          <w:i/>
          <w:sz w:val="23"/>
          <w:szCs w:val="23"/>
        </w:rPr>
      </w:pPr>
      <w:r w:rsidRPr="006A6E83">
        <w:rPr>
          <w:b/>
          <w:bCs/>
          <w:i/>
          <w:sz w:val="23"/>
          <w:szCs w:val="23"/>
        </w:rPr>
        <w:t>Question 2: Do you have any comments on how we could reform premises funding during the transition to the directly applied NFF?</w:t>
      </w:r>
    </w:p>
    <w:p w14:paraId="4D6ADF22" w14:textId="77777777" w:rsidR="000D076D" w:rsidRDefault="000D076D" w:rsidP="000D076D">
      <w:pPr>
        <w:pStyle w:val="Heading2"/>
      </w:pPr>
    </w:p>
    <w:p w14:paraId="6086F81B" w14:textId="34918367" w:rsidR="000D076D" w:rsidRDefault="000D076D" w:rsidP="000D076D">
      <w:pPr>
        <w:pStyle w:val="Heading2"/>
      </w:pPr>
      <w:r>
        <w:t>Response</w:t>
      </w:r>
    </w:p>
    <w:p w14:paraId="34E91DF1" w14:textId="77777777" w:rsidR="000D076D" w:rsidRDefault="000D076D" w:rsidP="000D076D">
      <w:pPr>
        <w:jc w:val="both"/>
        <w:rPr>
          <w:rFonts w:cstheme="minorHAnsi"/>
          <w:sz w:val="28"/>
          <w:szCs w:val="28"/>
        </w:rPr>
      </w:pPr>
      <w:r w:rsidRPr="00B02E9A">
        <w:rPr>
          <w:sz w:val="28"/>
          <w:szCs w:val="28"/>
        </w:rPr>
        <w:t>Individual local authority premises f</w:t>
      </w:r>
      <w:r>
        <w:rPr>
          <w:sz w:val="28"/>
          <w:szCs w:val="28"/>
        </w:rPr>
        <w:t>unding including Private Finance Initiative (</w:t>
      </w:r>
      <w:r>
        <w:rPr>
          <w:rFonts w:cstheme="minorHAnsi"/>
          <w:sz w:val="28"/>
          <w:szCs w:val="28"/>
        </w:rPr>
        <w:t xml:space="preserve">PFI) costs that are long-term contracts (some up to 25 years) would not be able to be reflected within a hard NFF and if included within the ACA would not accurately reflect each individual schools’ contributions.  </w:t>
      </w:r>
    </w:p>
    <w:p w14:paraId="6E2E833C" w14:textId="1022AF6E" w:rsidR="000D076D" w:rsidRDefault="000D076D" w:rsidP="000D076D">
      <w:pPr>
        <w:jc w:val="both"/>
        <w:rPr>
          <w:rFonts w:cstheme="minorHAnsi"/>
          <w:sz w:val="28"/>
          <w:szCs w:val="28"/>
        </w:rPr>
      </w:pPr>
      <w:r>
        <w:rPr>
          <w:rFonts w:cstheme="minorHAnsi"/>
          <w:sz w:val="28"/>
          <w:szCs w:val="28"/>
        </w:rPr>
        <w:t>Split site funding and individual school overhead running costs of a split site within schools could not be reflected within the NFF or ACA.  Buildings and whether listed buildings and modern buildings of split sites all carry considerable different running costs as well as maintenance costs.</w:t>
      </w:r>
    </w:p>
    <w:p w14:paraId="1DB0CF2D" w14:textId="77777777" w:rsidR="000D076D" w:rsidRDefault="000D076D" w:rsidP="000D076D">
      <w:pPr>
        <w:jc w:val="both"/>
        <w:rPr>
          <w:rFonts w:cstheme="minorHAnsi"/>
          <w:sz w:val="28"/>
          <w:szCs w:val="28"/>
        </w:rPr>
      </w:pPr>
    </w:p>
    <w:p w14:paraId="096D8917" w14:textId="77777777" w:rsidR="000D076D" w:rsidRPr="006A6E83" w:rsidRDefault="000D076D" w:rsidP="000D076D">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sz w:val="23"/>
          <w:szCs w:val="23"/>
        </w:rPr>
      </w:pPr>
      <w:r w:rsidRPr="006A6E83">
        <w:rPr>
          <w:rFonts w:asciiTheme="minorHAnsi" w:hAnsiTheme="minorHAnsi" w:cstheme="minorHAnsi"/>
          <w:b/>
          <w:bCs/>
          <w:sz w:val="23"/>
          <w:szCs w:val="23"/>
        </w:rPr>
        <w:t xml:space="preserve">Question 3: Do you agree with our proposal to use national, standardised criteria to allocate all aspects of growth and falling rolls funding? </w:t>
      </w:r>
    </w:p>
    <w:p w14:paraId="4A30E73C" w14:textId="77777777" w:rsidR="000D076D" w:rsidRDefault="000D076D" w:rsidP="000D076D">
      <w:pPr>
        <w:pStyle w:val="Default"/>
        <w:rPr>
          <w:sz w:val="23"/>
          <w:szCs w:val="23"/>
        </w:rPr>
      </w:pPr>
    </w:p>
    <w:p w14:paraId="5123C542" w14:textId="77777777" w:rsidR="000D076D" w:rsidRDefault="000D076D" w:rsidP="000D076D">
      <w:pPr>
        <w:pStyle w:val="Heading2"/>
      </w:pPr>
      <w:r>
        <w:t>Response</w:t>
      </w:r>
    </w:p>
    <w:p w14:paraId="6453545C" w14:textId="77777777" w:rsidR="000D076D" w:rsidRPr="000D076D" w:rsidRDefault="000D076D" w:rsidP="000D076D">
      <w:pPr>
        <w:pStyle w:val="Default"/>
        <w:jc w:val="both"/>
        <w:rPr>
          <w:rFonts w:ascii="Times New Roman" w:hAnsi="Times New Roman" w:cs="Times New Roman"/>
          <w:sz w:val="28"/>
          <w:szCs w:val="28"/>
        </w:rPr>
      </w:pPr>
      <w:r w:rsidRPr="000D076D">
        <w:rPr>
          <w:rFonts w:ascii="Times New Roman" w:hAnsi="Times New Roman" w:cs="Times New Roman"/>
          <w:sz w:val="28"/>
          <w:szCs w:val="28"/>
        </w:rPr>
        <w:t>The proposal to use standardised criteria would not support local knowledge on growth and it is the LA statutory responsibility to place children in suitable education institutions.  The application of standardised criteria would not support local business knowledge and future housing regeneration including planning within LBM.</w:t>
      </w:r>
    </w:p>
    <w:p w14:paraId="6BD83006" w14:textId="77777777" w:rsidR="000D076D" w:rsidRPr="000D076D" w:rsidRDefault="000D076D" w:rsidP="000D076D">
      <w:pPr>
        <w:pStyle w:val="Default"/>
        <w:jc w:val="both"/>
        <w:rPr>
          <w:rFonts w:ascii="Times New Roman" w:hAnsi="Times New Roman" w:cs="Times New Roman"/>
          <w:sz w:val="28"/>
          <w:szCs w:val="28"/>
        </w:rPr>
      </w:pPr>
    </w:p>
    <w:p w14:paraId="5FB757E1" w14:textId="77777777" w:rsidR="000D076D" w:rsidRPr="000D076D" w:rsidRDefault="000D076D" w:rsidP="000D076D">
      <w:pPr>
        <w:pStyle w:val="Default"/>
        <w:jc w:val="both"/>
        <w:rPr>
          <w:rFonts w:ascii="Times New Roman" w:hAnsi="Times New Roman" w:cs="Times New Roman"/>
          <w:sz w:val="28"/>
          <w:szCs w:val="28"/>
        </w:rPr>
      </w:pPr>
      <w:r w:rsidRPr="000D076D">
        <w:rPr>
          <w:rFonts w:ascii="Times New Roman" w:hAnsi="Times New Roman" w:cs="Times New Roman"/>
          <w:sz w:val="28"/>
          <w:szCs w:val="28"/>
        </w:rPr>
        <w:t>Falling rolls funding would remove local knowledge and school financial business intelligence on falling rolls and future place planning strategies in association with housing regeneration and future growth plans.  The DfE falling rolls in support of schools who are inspected as `outstanding’ or `good’ in category penalises the schools who are administering a recovery plan if they are deemed as `inadequate’ or `requires improvement’ could not be in receipt of falling rolls funding therefore causing financial hardship.  It is the LA responsibility for maintained schools and to assist in financial governance if the schools are in financial difficulty and falling rolls funding would benefit the individual schools’ strategic recovery plan.  It is common knowledge that schools who are classified as inadequate of requires improvement always require additional resources.</w:t>
      </w:r>
    </w:p>
    <w:p w14:paraId="17B33CC4" w14:textId="77777777" w:rsidR="000D076D" w:rsidRPr="00EC6A66" w:rsidRDefault="000D076D" w:rsidP="000D076D">
      <w:pPr>
        <w:pStyle w:val="Default"/>
        <w:jc w:val="both"/>
        <w:rPr>
          <w:rFonts w:asciiTheme="minorHAnsi" w:hAnsiTheme="minorHAnsi" w:cstheme="minorHAnsi"/>
          <w:sz w:val="28"/>
          <w:szCs w:val="28"/>
        </w:rPr>
      </w:pPr>
    </w:p>
    <w:p w14:paraId="522EDF81" w14:textId="77777777" w:rsidR="000D076D" w:rsidRPr="006A6E83" w:rsidRDefault="000D076D" w:rsidP="000D076D">
      <w:pPr>
        <w:pBdr>
          <w:top w:val="single" w:sz="4" w:space="1" w:color="auto"/>
          <w:left w:val="single" w:sz="4" w:space="4" w:color="auto"/>
          <w:bottom w:val="single" w:sz="4" w:space="1" w:color="auto"/>
          <w:right w:val="single" w:sz="4" w:space="4" w:color="auto"/>
        </w:pBdr>
        <w:rPr>
          <w:b/>
          <w:bCs/>
          <w:i/>
          <w:sz w:val="23"/>
          <w:szCs w:val="23"/>
        </w:rPr>
      </w:pPr>
      <w:r w:rsidRPr="006A6E83">
        <w:rPr>
          <w:b/>
          <w:bCs/>
          <w:i/>
          <w:sz w:val="23"/>
          <w:szCs w:val="23"/>
        </w:rPr>
        <w:t>Question 4: Do you have any comments on our proposed approach to growth and falling rolls funding?</w:t>
      </w:r>
    </w:p>
    <w:p w14:paraId="6B412975" w14:textId="77777777" w:rsidR="000D076D" w:rsidRDefault="000D076D" w:rsidP="000D076D">
      <w:pPr>
        <w:pStyle w:val="Heading2"/>
      </w:pPr>
      <w:r>
        <w:lastRenderedPageBreak/>
        <w:t>Response</w:t>
      </w:r>
    </w:p>
    <w:p w14:paraId="3DE0664A" w14:textId="1F6EE3AF" w:rsidR="000D076D" w:rsidRDefault="000D076D" w:rsidP="000D076D">
      <w:pPr>
        <w:pStyle w:val="Default"/>
        <w:rPr>
          <w:rFonts w:ascii="Times New Roman" w:hAnsi="Times New Roman" w:cs="Times New Roman"/>
          <w:sz w:val="28"/>
          <w:szCs w:val="28"/>
        </w:rPr>
      </w:pPr>
      <w:r w:rsidRPr="000D076D">
        <w:rPr>
          <w:rFonts w:ascii="Times New Roman" w:hAnsi="Times New Roman" w:cs="Times New Roman"/>
          <w:sz w:val="28"/>
          <w:szCs w:val="28"/>
        </w:rPr>
        <w:t>LBM supported schools with growth funding of c£640k (2021-22) in support of implicit and explicit growth in schools.  This is approved by School Forum each year as part of setting school budgets.</w:t>
      </w:r>
    </w:p>
    <w:p w14:paraId="7C216C83" w14:textId="77777777" w:rsidR="000D076D" w:rsidRPr="000D076D" w:rsidRDefault="000D076D" w:rsidP="000D076D">
      <w:pPr>
        <w:pStyle w:val="Default"/>
        <w:rPr>
          <w:rFonts w:ascii="Times New Roman" w:hAnsi="Times New Roman" w:cs="Times New Roman"/>
          <w:sz w:val="28"/>
          <w:szCs w:val="28"/>
        </w:rPr>
      </w:pPr>
    </w:p>
    <w:p w14:paraId="64C0F73A" w14:textId="77777777" w:rsidR="000D076D" w:rsidRPr="000D076D" w:rsidRDefault="000D076D" w:rsidP="000D076D">
      <w:pPr>
        <w:pStyle w:val="Default"/>
        <w:jc w:val="both"/>
        <w:rPr>
          <w:rFonts w:ascii="Times New Roman" w:hAnsi="Times New Roman" w:cs="Times New Roman"/>
          <w:sz w:val="28"/>
          <w:szCs w:val="28"/>
        </w:rPr>
      </w:pPr>
      <w:r w:rsidRPr="000D076D">
        <w:rPr>
          <w:rFonts w:ascii="Times New Roman" w:hAnsi="Times New Roman" w:cs="Times New Roman"/>
          <w:sz w:val="28"/>
          <w:szCs w:val="28"/>
        </w:rPr>
        <w:t>If criteria were set, this would have to be flexible to meet local needs and demands placed upon LA during the academic year especially with in-year migration of children and families and LA ability to support these in-year changes.</w:t>
      </w:r>
    </w:p>
    <w:p w14:paraId="59D95DCF" w14:textId="77777777" w:rsidR="000D076D" w:rsidRDefault="000D076D" w:rsidP="000D076D">
      <w:pPr>
        <w:pStyle w:val="Default"/>
        <w:rPr>
          <w:rFonts w:asciiTheme="minorHAnsi" w:hAnsiTheme="minorHAnsi" w:cstheme="minorHAnsi"/>
          <w:sz w:val="28"/>
          <w:szCs w:val="28"/>
        </w:rPr>
      </w:pPr>
    </w:p>
    <w:p w14:paraId="02F0C411" w14:textId="77777777" w:rsidR="000D076D" w:rsidRPr="00DE2979" w:rsidRDefault="000D076D" w:rsidP="000D076D">
      <w:pPr>
        <w:pStyle w:val="Default"/>
        <w:tabs>
          <w:tab w:val="left" w:pos="5680"/>
        </w:tabs>
        <w:rPr>
          <w:rFonts w:asciiTheme="minorHAnsi" w:hAnsiTheme="minorHAnsi" w:cstheme="minorHAnsi"/>
          <w:sz w:val="28"/>
          <w:szCs w:val="28"/>
        </w:rPr>
      </w:pPr>
      <w:r>
        <w:rPr>
          <w:rFonts w:asciiTheme="minorHAnsi" w:hAnsiTheme="minorHAnsi" w:cstheme="minorHAnsi"/>
          <w:sz w:val="28"/>
          <w:szCs w:val="28"/>
        </w:rPr>
        <w:tab/>
      </w:r>
    </w:p>
    <w:p w14:paraId="699E68EF" w14:textId="77777777" w:rsidR="000D076D" w:rsidRPr="006A6E83" w:rsidRDefault="000D076D" w:rsidP="000D076D">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i/>
          <w:sz w:val="23"/>
          <w:szCs w:val="23"/>
        </w:rPr>
      </w:pPr>
      <w:r w:rsidRPr="006A6E83">
        <w:rPr>
          <w:rFonts w:asciiTheme="minorHAnsi" w:hAnsiTheme="minorHAnsi" w:cstheme="minorHAnsi"/>
          <w:b/>
          <w:bCs/>
          <w:i/>
          <w:sz w:val="23"/>
          <w:szCs w:val="23"/>
        </w:rPr>
        <w:t xml:space="preserve">Question 5: Do you agree that, in 2023-24, each LA should be required to use each of the NFF factors (with the exception of any significantly reformed factors) in its local formulae? </w:t>
      </w:r>
    </w:p>
    <w:p w14:paraId="7D2C91D5" w14:textId="77777777" w:rsidR="000D076D" w:rsidRDefault="000D076D" w:rsidP="000D076D">
      <w:pPr>
        <w:pStyle w:val="Default"/>
        <w:rPr>
          <w:b/>
          <w:bCs/>
          <w:sz w:val="23"/>
          <w:szCs w:val="23"/>
        </w:rPr>
      </w:pPr>
    </w:p>
    <w:p w14:paraId="31E396A2" w14:textId="77777777" w:rsidR="000D076D" w:rsidRDefault="000D076D" w:rsidP="000D076D">
      <w:pPr>
        <w:pStyle w:val="Heading2"/>
      </w:pPr>
      <w:r>
        <w:t>Response</w:t>
      </w:r>
    </w:p>
    <w:p w14:paraId="0316A13E" w14:textId="77777777" w:rsidR="000D076D" w:rsidRPr="000D076D" w:rsidRDefault="000D076D" w:rsidP="000D076D">
      <w:pPr>
        <w:pStyle w:val="Default"/>
        <w:jc w:val="both"/>
        <w:rPr>
          <w:rFonts w:ascii="Times New Roman" w:hAnsi="Times New Roman" w:cs="Times New Roman"/>
          <w:sz w:val="28"/>
          <w:szCs w:val="28"/>
        </w:rPr>
      </w:pPr>
      <w:r w:rsidRPr="000D076D">
        <w:rPr>
          <w:rFonts w:ascii="Times New Roman" w:hAnsi="Times New Roman" w:cs="Times New Roman"/>
          <w:sz w:val="28"/>
          <w:szCs w:val="28"/>
        </w:rPr>
        <w:t>LBM current local formula is a soft formula that is a slow transition to the NFF Advance notice of the hard formula to LA’s of the implementation years would be required and some flexibility in factors.  This would be required to provide schools’ with adequate notice due to major changes in school budgets.  The growth funding and PFI funding that is specific to the LA and schools funding requirements would be difficult to include within the NFF due to each LA’s individual requirements.</w:t>
      </w:r>
    </w:p>
    <w:p w14:paraId="16347994" w14:textId="77777777" w:rsidR="000D076D" w:rsidRDefault="000D076D" w:rsidP="000D076D">
      <w:pPr>
        <w:pStyle w:val="Default"/>
        <w:rPr>
          <w:sz w:val="23"/>
          <w:szCs w:val="23"/>
        </w:rPr>
      </w:pPr>
    </w:p>
    <w:p w14:paraId="7628E321" w14:textId="77777777" w:rsidR="000D076D" w:rsidRPr="006A6E83" w:rsidRDefault="000D076D" w:rsidP="000D076D">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i/>
          <w:sz w:val="23"/>
          <w:szCs w:val="23"/>
        </w:rPr>
      </w:pPr>
      <w:r w:rsidRPr="006A6E83">
        <w:rPr>
          <w:rFonts w:asciiTheme="minorHAnsi" w:hAnsiTheme="minorHAnsi" w:cstheme="minorHAnsi"/>
          <w:b/>
          <w:bCs/>
          <w:i/>
          <w:sz w:val="23"/>
          <w:szCs w:val="23"/>
        </w:rPr>
        <w:t xml:space="preserve">Question 6: Do you agree that all LA formulae, except those that already ‘mirroring’ the NFF, should be required to move closer to the NFF from 2023-24, in order to smooth the transition to the hard NFF for schools? </w:t>
      </w:r>
    </w:p>
    <w:p w14:paraId="199E5AF5" w14:textId="77777777" w:rsidR="000D076D" w:rsidRDefault="000D076D" w:rsidP="000D076D">
      <w:pPr>
        <w:pStyle w:val="Default"/>
        <w:rPr>
          <w:sz w:val="23"/>
          <w:szCs w:val="23"/>
        </w:rPr>
      </w:pPr>
    </w:p>
    <w:p w14:paraId="6B14271E" w14:textId="77777777" w:rsidR="000D076D" w:rsidRDefault="000D076D" w:rsidP="000D076D">
      <w:pPr>
        <w:pStyle w:val="Heading2"/>
      </w:pPr>
      <w:r>
        <w:t>Response</w:t>
      </w:r>
    </w:p>
    <w:p w14:paraId="7F2D99FD" w14:textId="77777777" w:rsidR="000D076D" w:rsidRPr="000D076D" w:rsidRDefault="000D076D" w:rsidP="000D076D">
      <w:pPr>
        <w:pStyle w:val="Default"/>
        <w:jc w:val="both"/>
        <w:rPr>
          <w:rFonts w:ascii="Times New Roman" w:hAnsi="Times New Roman" w:cs="Times New Roman"/>
          <w:sz w:val="28"/>
          <w:szCs w:val="28"/>
        </w:rPr>
      </w:pPr>
      <w:r w:rsidRPr="000D076D">
        <w:rPr>
          <w:rFonts w:ascii="Times New Roman" w:hAnsi="Times New Roman" w:cs="Times New Roman"/>
          <w:sz w:val="28"/>
          <w:szCs w:val="28"/>
        </w:rPr>
        <w:t>Moving or mirroring the NFF is positive apart from data collection and timing accuracy of factors IDACI for example that is relevant to the funding years of school budgets and not simply moving funding from deprived pupils to other recognised deprived pupils based upon old census.  The factors should be generated from accurate census data for the funding year to ensure funding is distributed to schools for the children and young people in their schools.</w:t>
      </w:r>
    </w:p>
    <w:p w14:paraId="137974ED" w14:textId="77777777" w:rsidR="000D076D" w:rsidRPr="000D076D" w:rsidRDefault="000D076D" w:rsidP="000D076D">
      <w:pPr>
        <w:pStyle w:val="Default"/>
        <w:rPr>
          <w:rFonts w:ascii="Times New Roman" w:hAnsi="Times New Roman" w:cs="Times New Roman"/>
          <w:sz w:val="23"/>
          <w:szCs w:val="23"/>
        </w:rPr>
      </w:pPr>
    </w:p>
    <w:p w14:paraId="35875EDF" w14:textId="77777777" w:rsidR="000D076D" w:rsidRDefault="000D076D" w:rsidP="000D076D">
      <w:pPr>
        <w:pStyle w:val="Default"/>
        <w:rPr>
          <w:sz w:val="23"/>
          <w:szCs w:val="23"/>
        </w:rPr>
      </w:pPr>
    </w:p>
    <w:p w14:paraId="254F6263" w14:textId="77777777" w:rsidR="000D076D" w:rsidRPr="006A6E83" w:rsidRDefault="000D076D" w:rsidP="000D076D">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i/>
          <w:sz w:val="23"/>
          <w:szCs w:val="23"/>
        </w:rPr>
      </w:pPr>
      <w:r w:rsidRPr="006A6E83">
        <w:rPr>
          <w:rFonts w:asciiTheme="minorHAnsi" w:hAnsiTheme="minorHAnsi" w:cstheme="minorHAnsi"/>
          <w:b/>
          <w:bCs/>
          <w:i/>
          <w:sz w:val="23"/>
          <w:szCs w:val="23"/>
        </w:rPr>
        <w:t xml:space="preserve">Question 7: Do you agree that LA formulae factor values should move 10% closer to the NFF, compared with their distance from the NFF in 2022-23? If you do not agree, can you please explain why? </w:t>
      </w:r>
    </w:p>
    <w:p w14:paraId="717E2D7A" w14:textId="77777777" w:rsidR="000D076D" w:rsidRDefault="000D076D" w:rsidP="000D076D">
      <w:pPr>
        <w:pStyle w:val="Default"/>
        <w:rPr>
          <w:sz w:val="23"/>
          <w:szCs w:val="23"/>
        </w:rPr>
      </w:pPr>
    </w:p>
    <w:p w14:paraId="10A3A665" w14:textId="77777777" w:rsidR="000D076D" w:rsidRPr="002E6328" w:rsidRDefault="000D076D" w:rsidP="000D076D">
      <w:pPr>
        <w:pStyle w:val="Heading2"/>
      </w:pPr>
      <w:r w:rsidRPr="002E6328">
        <w:t>Response</w:t>
      </w:r>
    </w:p>
    <w:p w14:paraId="71333AF1" w14:textId="77777777" w:rsidR="000D076D" w:rsidRPr="000D076D" w:rsidRDefault="000D076D" w:rsidP="000D076D">
      <w:pPr>
        <w:pStyle w:val="Default"/>
        <w:jc w:val="both"/>
        <w:rPr>
          <w:rFonts w:ascii="Times New Roman" w:hAnsi="Times New Roman" w:cs="Times New Roman"/>
          <w:sz w:val="28"/>
          <w:szCs w:val="28"/>
        </w:rPr>
      </w:pPr>
      <w:r w:rsidRPr="000D076D">
        <w:rPr>
          <w:rFonts w:ascii="Times New Roman" w:hAnsi="Times New Roman" w:cs="Times New Roman"/>
          <w:sz w:val="28"/>
          <w:szCs w:val="28"/>
        </w:rPr>
        <w:t xml:space="preserve">This is dependent upon each local authority and individual schools funding.  In making this overall decision within the formula depends upon school budgets and those schools with falling rolls and schools with deficit budgets.  Schools require </w:t>
      </w:r>
      <w:r w:rsidRPr="000D076D">
        <w:rPr>
          <w:rFonts w:ascii="Times New Roman" w:hAnsi="Times New Roman" w:cs="Times New Roman"/>
          <w:sz w:val="28"/>
          <w:szCs w:val="28"/>
        </w:rPr>
        <w:lastRenderedPageBreak/>
        <w:t>advance knowledge of major changes if applicable on funding to enable strategic planning especially within schools of falling rolls and deficit budgets.</w:t>
      </w:r>
    </w:p>
    <w:p w14:paraId="55692FFA" w14:textId="77777777" w:rsidR="000D076D" w:rsidRPr="000D076D" w:rsidRDefault="000D076D" w:rsidP="000D076D">
      <w:pPr>
        <w:pStyle w:val="Default"/>
        <w:rPr>
          <w:rFonts w:ascii="Times New Roman" w:hAnsi="Times New Roman" w:cs="Times New Roman"/>
          <w:sz w:val="23"/>
          <w:szCs w:val="23"/>
        </w:rPr>
      </w:pPr>
    </w:p>
    <w:p w14:paraId="3F62708C" w14:textId="77777777" w:rsidR="000D076D" w:rsidRPr="000D076D" w:rsidRDefault="000D076D" w:rsidP="000D076D">
      <w:pPr>
        <w:pStyle w:val="Default"/>
        <w:jc w:val="both"/>
        <w:rPr>
          <w:rFonts w:ascii="Times New Roman" w:hAnsi="Times New Roman" w:cs="Times New Roman"/>
          <w:sz w:val="28"/>
          <w:szCs w:val="28"/>
        </w:rPr>
      </w:pPr>
      <w:r w:rsidRPr="000D076D">
        <w:rPr>
          <w:rFonts w:ascii="Times New Roman" w:hAnsi="Times New Roman" w:cs="Times New Roman"/>
          <w:sz w:val="28"/>
          <w:szCs w:val="28"/>
        </w:rPr>
        <w:t>10%-15% is a range suitable to LBM but advance notice of NFF factors and movement within any range in future funding rates to cause as minimal uncertainty on future school funding and revenue budgets.</w:t>
      </w:r>
    </w:p>
    <w:p w14:paraId="3E8485D3" w14:textId="77777777" w:rsidR="000D076D" w:rsidRDefault="000D076D" w:rsidP="000D076D">
      <w:pPr>
        <w:pStyle w:val="Default"/>
        <w:rPr>
          <w:sz w:val="23"/>
          <w:szCs w:val="23"/>
        </w:rPr>
      </w:pPr>
    </w:p>
    <w:p w14:paraId="7D0EB6C2" w14:textId="77777777" w:rsidR="000D076D" w:rsidRPr="006A6E83" w:rsidRDefault="000D076D" w:rsidP="000D076D">
      <w:pPr>
        <w:pBdr>
          <w:top w:val="single" w:sz="4" w:space="1" w:color="auto"/>
          <w:left w:val="single" w:sz="4" w:space="4" w:color="auto"/>
          <w:bottom w:val="single" w:sz="4" w:space="1" w:color="auto"/>
          <w:right w:val="single" w:sz="4" w:space="4" w:color="auto"/>
        </w:pBdr>
        <w:rPr>
          <w:b/>
          <w:bCs/>
          <w:i/>
          <w:sz w:val="23"/>
          <w:szCs w:val="23"/>
        </w:rPr>
      </w:pPr>
      <w:r w:rsidRPr="006A6E83">
        <w:rPr>
          <w:b/>
          <w:bCs/>
          <w:i/>
          <w:sz w:val="23"/>
          <w:szCs w:val="23"/>
        </w:rPr>
        <w:t>Question 8: As we would not require LAs to move closer to the NFF if their local formulae were already very close to the NFF, do you have any comments on the appropriate threshold level?</w:t>
      </w:r>
    </w:p>
    <w:p w14:paraId="4B480C93" w14:textId="77777777" w:rsidR="000D076D" w:rsidRDefault="000D076D" w:rsidP="000D076D">
      <w:pPr>
        <w:pStyle w:val="Heading2"/>
      </w:pPr>
    </w:p>
    <w:p w14:paraId="388618C7" w14:textId="365DE5DC" w:rsidR="000D076D" w:rsidRDefault="000D076D" w:rsidP="000D076D">
      <w:pPr>
        <w:pStyle w:val="Heading2"/>
      </w:pPr>
      <w:r>
        <w:t>Response</w:t>
      </w:r>
    </w:p>
    <w:p w14:paraId="0B715E24" w14:textId="77777777" w:rsidR="000D076D" w:rsidRPr="000D076D" w:rsidRDefault="000D076D" w:rsidP="000D076D">
      <w:pPr>
        <w:pStyle w:val="Default"/>
        <w:jc w:val="both"/>
        <w:rPr>
          <w:rFonts w:ascii="Times New Roman" w:hAnsi="Times New Roman" w:cs="Times New Roman"/>
          <w:sz w:val="28"/>
          <w:szCs w:val="28"/>
        </w:rPr>
      </w:pPr>
      <w:r w:rsidRPr="000D076D">
        <w:rPr>
          <w:rFonts w:ascii="Times New Roman" w:hAnsi="Times New Roman" w:cs="Times New Roman"/>
          <w:sz w:val="28"/>
          <w:szCs w:val="28"/>
        </w:rPr>
        <w:t>The NFF for schools and moving towards this would require MFG (2%) protection to enable LA’s to plan and prepare schools and transitional funding in support may support some LA’s in the hard NFF implementation.</w:t>
      </w:r>
    </w:p>
    <w:p w14:paraId="1735485F" w14:textId="77777777" w:rsidR="000D076D" w:rsidRDefault="000D076D" w:rsidP="000D076D">
      <w:pPr>
        <w:pStyle w:val="Default"/>
        <w:rPr>
          <w:rFonts w:asciiTheme="minorHAnsi" w:hAnsiTheme="minorHAnsi" w:cstheme="minorHAnsi"/>
          <w:b/>
          <w:bCs/>
          <w:sz w:val="23"/>
          <w:szCs w:val="23"/>
        </w:rPr>
      </w:pPr>
    </w:p>
    <w:p w14:paraId="72262E50" w14:textId="77777777" w:rsidR="000D076D" w:rsidRPr="006A6E83" w:rsidRDefault="000D076D" w:rsidP="000D076D">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i/>
          <w:sz w:val="23"/>
          <w:szCs w:val="23"/>
        </w:rPr>
      </w:pPr>
      <w:r w:rsidRPr="006A6E83">
        <w:rPr>
          <w:rFonts w:asciiTheme="minorHAnsi" w:hAnsiTheme="minorHAnsi" w:cstheme="minorHAnsi"/>
          <w:b/>
          <w:bCs/>
          <w:i/>
          <w:sz w:val="23"/>
          <w:szCs w:val="23"/>
        </w:rPr>
        <w:t xml:space="preserve">Question 9: Do you agree that the additional flexibility for LAs in the EAL factor, relating to how many years a pupil has been in the school system, should be removed from 2023-24? </w:t>
      </w:r>
    </w:p>
    <w:p w14:paraId="3DCBB00B" w14:textId="77777777" w:rsidR="000D076D" w:rsidRDefault="000D076D" w:rsidP="000D076D">
      <w:pPr>
        <w:pStyle w:val="Default"/>
        <w:rPr>
          <w:sz w:val="23"/>
          <w:szCs w:val="23"/>
        </w:rPr>
      </w:pPr>
    </w:p>
    <w:p w14:paraId="4A2D6EF0" w14:textId="77777777" w:rsidR="000D076D" w:rsidRDefault="000D076D" w:rsidP="000D076D">
      <w:pPr>
        <w:pStyle w:val="Heading2"/>
      </w:pPr>
      <w:r>
        <w:t>Response</w:t>
      </w:r>
    </w:p>
    <w:p w14:paraId="4C05B7F7" w14:textId="464A9DAA" w:rsidR="000D076D" w:rsidRDefault="000D076D" w:rsidP="000D076D">
      <w:pPr>
        <w:pStyle w:val="Default"/>
        <w:jc w:val="both"/>
        <w:rPr>
          <w:rFonts w:ascii="Times New Roman" w:hAnsi="Times New Roman" w:cs="Times New Roman"/>
          <w:sz w:val="28"/>
          <w:szCs w:val="28"/>
        </w:rPr>
      </w:pPr>
      <w:r w:rsidRPr="000D076D">
        <w:rPr>
          <w:rFonts w:ascii="Times New Roman" w:hAnsi="Times New Roman" w:cs="Times New Roman"/>
          <w:sz w:val="28"/>
          <w:szCs w:val="28"/>
        </w:rPr>
        <w:t xml:space="preserve">English Additional Language (EAL) children attending schools require additional support and ongoing support and to remove the yearly ongoing support would create a pressure on the school budget due to payment (funding factor rates) being ceased in support.  Costs include visual aids, parental support, cut down language support, and </w:t>
      </w:r>
      <w:r w:rsidRPr="000D076D">
        <w:rPr>
          <w:rFonts w:ascii="Times New Roman" w:hAnsi="Times New Roman" w:cs="Times New Roman"/>
          <w:color w:val="auto"/>
          <w:sz w:val="28"/>
          <w:szCs w:val="28"/>
        </w:rPr>
        <w:t xml:space="preserve">learning through play.  The EAL child will continue through the schooling system </w:t>
      </w:r>
      <w:r w:rsidRPr="000D076D">
        <w:rPr>
          <w:rFonts w:ascii="Times New Roman" w:hAnsi="Times New Roman" w:cs="Times New Roman"/>
          <w:sz w:val="28"/>
          <w:szCs w:val="28"/>
        </w:rPr>
        <w:t>but to remove recognition through the EAL child’s years could been seen as a cut in funding to schools.</w:t>
      </w:r>
    </w:p>
    <w:p w14:paraId="378F6956" w14:textId="77777777" w:rsidR="000D076D" w:rsidRPr="000D076D" w:rsidRDefault="000D076D" w:rsidP="000D076D">
      <w:pPr>
        <w:pStyle w:val="Default"/>
        <w:jc w:val="both"/>
        <w:rPr>
          <w:rFonts w:ascii="Times New Roman" w:hAnsi="Times New Roman" w:cs="Times New Roman"/>
          <w:color w:val="auto"/>
          <w:sz w:val="28"/>
          <w:szCs w:val="28"/>
        </w:rPr>
      </w:pPr>
    </w:p>
    <w:p w14:paraId="126F6336" w14:textId="77777777" w:rsidR="000D076D" w:rsidRPr="000D076D" w:rsidRDefault="000D076D" w:rsidP="000D076D">
      <w:pPr>
        <w:pStyle w:val="Default"/>
        <w:jc w:val="both"/>
        <w:rPr>
          <w:rFonts w:ascii="Times New Roman" w:hAnsi="Times New Roman" w:cs="Times New Roman"/>
          <w:sz w:val="28"/>
          <w:szCs w:val="28"/>
        </w:rPr>
      </w:pPr>
      <w:r w:rsidRPr="000D076D">
        <w:rPr>
          <w:rFonts w:ascii="Times New Roman" w:hAnsi="Times New Roman" w:cs="Times New Roman"/>
          <w:color w:val="auto"/>
          <w:sz w:val="28"/>
          <w:szCs w:val="28"/>
        </w:rPr>
        <w:t>Research analysed nine years of EAL data and concluded many EAL pupils need more than six years of support to achieve Proficiency in English, at which point the learner can fully access the curriculum and therefore fulfil their academic potential.</w:t>
      </w:r>
    </w:p>
    <w:p w14:paraId="563DD858" w14:textId="77777777" w:rsidR="000D076D" w:rsidRPr="00F55A01" w:rsidRDefault="000D076D" w:rsidP="000D076D">
      <w:pPr>
        <w:pStyle w:val="Default"/>
        <w:rPr>
          <w:rFonts w:asciiTheme="minorHAnsi" w:hAnsiTheme="minorHAnsi" w:cstheme="minorHAnsi"/>
          <w:sz w:val="28"/>
          <w:szCs w:val="28"/>
        </w:rPr>
      </w:pPr>
    </w:p>
    <w:p w14:paraId="1DA19DFC" w14:textId="77777777" w:rsidR="000D076D" w:rsidRPr="006A6E83" w:rsidRDefault="000D076D" w:rsidP="000D076D">
      <w:pPr>
        <w:pBdr>
          <w:top w:val="single" w:sz="4" w:space="1" w:color="auto"/>
          <w:left w:val="single" w:sz="4" w:space="4" w:color="auto"/>
          <w:bottom w:val="single" w:sz="4" w:space="1" w:color="auto"/>
          <w:right w:val="single" w:sz="4" w:space="4" w:color="auto"/>
        </w:pBdr>
        <w:rPr>
          <w:b/>
          <w:bCs/>
          <w:i/>
          <w:sz w:val="23"/>
          <w:szCs w:val="23"/>
        </w:rPr>
      </w:pPr>
      <w:r w:rsidRPr="006A6E83">
        <w:rPr>
          <w:b/>
          <w:bCs/>
          <w:i/>
          <w:sz w:val="23"/>
          <w:szCs w:val="23"/>
        </w:rPr>
        <w:t>Question 10: Do you agree that the additional flexibilities relating to the sparsity factor should remain in place for 2023-24?</w:t>
      </w:r>
    </w:p>
    <w:p w14:paraId="5C36833E" w14:textId="77777777" w:rsidR="000D076D" w:rsidRDefault="000D076D" w:rsidP="000D076D">
      <w:pPr>
        <w:pStyle w:val="Heading2"/>
      </w:pPr>
      <w:r>
        <w:t>Response</w:t>
      </w:r>
    </w:p>
    <w:p w14:paraId="3255D24B" w14:textId="77777777" w:rsidR="000D076D" w:rsidRPr="000D076D" w:rsidRDefault="000D076D" w:rsidP="000D076D">
      <w:pPr>
        <w:pStyle w:val="Default"/>
        <w:jc w:val="both"/>
        <w:rPr>
          <w:rFonts w:ascii="Times New Roman" w:hAnsi="Times New Roman" w:cs="Times New Roman"/>
          <w:color w:val="auto"/>
          <w:sz w:val="28"/>
          <w:szCs w:val="28"/>
        </w:rPr>
      </w:pPr>
      <w:r w:rsidRPr="000D076D">
        <w:rPr>
          <w:rFonts w:ascii="Times New Roman" w:hAnsi="Times New Roman" w:cs="Times New Roman"/>
          <w:sz w:val="28"/>
          <w:szCs w:val="28"/>
        </w:rPr>
        <w:t xml:space="preserve">Sparsity factor supports small rural schools, as well as the lump sum in the formula.  </w:t>
      </w:r>
      <w:r w:rsidRPr="000D076D">
        <w:rPr>
          <w:rFonts w:ascii="Times New Roman" w:hAnsi="Times New Roman" w:cs="Times New Roman"/>
          <w:color w:val="auto"/>
          <w:sz w:val="28"/>
          <w:szCs w:val="28"/>
        </w:rPr>
        <w:t>The sparsity factor would be welcomed for small schools in urban areas facing mobility and population growth pressures, but not applicable to LBM.</w:t>
      </w:r>
    </w:p>
    <w:p w14:paraId="217148E3" w14:textId="225CDC44" w:rsidR="000D076D" w:rsidRDefault="000D076D" w:rsidP="000D076D">
      <w:pPr>
        <w:pStyle w:val="Default"/>
        <w:rPr>
          <w:rFonts w:asciiTheme="minorHAnsi" w:hAnsiTheme="minorHAnsi" w:cstheme="minorHAnsi"/>
          <w:b/>
          <w:bCs/>
          <w:sz w:val="28"/>
          <w:szCs w:val="28"/>
        </w:rPr>
      </w:pPr>
    </w:p>
    <w:p w14:paraId="5F7AD81F" w14:textId="0D257228" w:rsidR="000D076D" w:rsidRDefault="000D076D" w:rsidP="000D076D">
      <w:pPr>
        <w:pStyle w:val="Default"/>
        <w:rPr>
          <w:rFonts w:asciiTheme="minorHAnsi" w:hAnsiTheme="minorHAnsi" w:cstheme="minorHAnsi"/>
          <w:b/>
          <w:bCs/>
          <w:sz w:val="28"/>
          <w:szCs w:val="28"/>
        </w:rPr>
      </w:pPr>
    </w:p>
    <w:p w14:paraId="709929F1" w14:textId="77777777" w:rsidR="000D076D" w:rsidRPr="00ED6838" w:rsidRDefault="000D076D" w:rsidP="000D076D">
      <w:pPr>
        <w:pStyle w:val="Default"/>
        <w:rPr>
          <w:rFonts w:asciiTheme="minorHAnsi" w:hAnsiTheme="minorHAnsi" w:cstheme="minorHAnsi"/>
          <w:b/>
          <w:bCs/>
          <w:sz w:val="28"/>
          <w:szCs w:val="28"/>
        </w:rPr>
      </w:pPr>
    </w:p>
    <w:p w14:paraId="1205E470" w14:textId="77777777" w:rsidR="000D076D" w:rsidRPr="006A6E83" w:rsidRDefault="000D076D" w:rsidP="000D076D">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i/>
          <w:sz w:val="23"/>
          <w:szCs w:val="23"/>
        </w:rPr>
      </w:pPr>
      <w:r w:rsidRPr="006A6E83">
        <w:rPr>
          <w:rFonts w:asciiTheme="minorHAnsi" w:hAnsiTheme="minorHAnsi" w:cstheme="minorHAnsi"/>
          <w:b/>
          <w:bCs/>
          <w:i/>
          <w:sz w:val="23"/>
          <w:szCs w:val="23"/>
        </w:rPr>
        <w:lastRenderedPageBreak/>
        <w:t xml:space="preserve">Question 11: are there any comments you wish to make on the proposals we have made regarding ongoing central school services, including on whether in the future central school services funding could move to LGFS? </w:t>
      </w:r>
    </w:p>
    <w:p w14:paraId="07196A78" w14:textId="77777777" w:rsidR="000D076D" w:rsidRPr="006A6E83" w:rsidRDefault="000D076D" w:rsidP="000D076D">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i/>
          <w:sz w:val="23"/>
          <w:szCs w:val="23"/>
        </w:rPr>
      </w:pPr>
    </w:p>
    <w:p w14:paraId="75161F89" w14:textId="77777777" w:rsidR="000D076D" w:rsidRPr="006A6E83" w:rsidRDefault="000D076D" w:rsidP="000D076D">
      <w:pPr>
        <w:pBdr>
          <w:top w:val="single" w:sz="4" w:space="1" w:color="auto"/>
          <w:left w:val="single" w:sz="4" w:space="4" w:color="auto"/>
          <w:bottom w:val="single" w:sz="4" w:space="1" w:color="auto"/>
          <w:right w:val="single" w:sz="4" w:space="4" w:color="auto"/>
        </w:pBdr>
        <w:rPr>
          <w:rFonts w:cstheme="minorHAnsi"/>
          <w:b/>
          <w:bCs/>
          <w:i/>
          <w:sz w:val="23"/>
          <w:szCs w:val="23"/>
        </w:rPr>
      </w:pPr>
      <w:r w:rsidRPr="006A6E83">
        <w:rPr>
          <w:rFonts w:cstheme="minorHAnsi"/>
          <w:b/>
          <w:bCs/>
          <w:i/>
          <w:sz w:val="23"/>
          <w:szCs w:val="23"/>
        </w:rPr>
        <w:t>Funding for historic commitments under a direct NFF</w:t>
      </w:r>
    </w:p>
    <w:p w14:paraId="417968E8" w14:textId="77777777" w:rsidR="000D076D" w:rsidRDefault="000D076D" w:rsidP="000D076D">
      <w:pPr>
        <w:pStyle w:val="Heading2"/>
      </w:pPr>
    </w:p>
    <w:p w14:paraId="6CC4AF79" w14:textId="19753B87" w:rsidR="000D076D" w:rsidRDefault="000D076D" w:rsidP="000D076D">
      <w:pPr>
        <w:pStyle w:val="Heading2"/>
      </w:pPr>
      <w:r>
        <w:t>Response</w:t>
      </w:r>
    </w:p>
    <w:p w14:paraId="508C9397" w14:textId="7A63B341" w:rsidR="000D076D" w:rsidRDefault="000D076D" w:rsidP="000D076D">
      <w:pPr>
        <w:jc w:val="both"/>
        <w:rPr>
          <w:sz w:val="28"/>
          <w:szCs w:val="28"/>
        </w:rPr>
      </w:pPr>
      <w:r w:rsidRPr="000D076D">
        <w:rPr>
          <w:sz w:val="28"/>
          <w:szCs w:val="28"/>
        </w:rPr>
        <w:t>Further detailed work with local authorities on the central school services block of funding would be required before the move to LGFS.  This block is supporting historic expenditure of maintained schools that is specific to each local authority and already is subjected to 20% reduction in funding but further ongoing work with LA’s would be required.  This block funding is support to schools for statutory services provided by the LA.</w:t>
      </w:r>
    </w:p>
    <w:p w14:paraId="5DE0D00E" w14:textId="77777777" w:rsidR="006A6E83" w:rsidRPr="000D076D" w:rsidRDefault="006A6E83" w:rsidP="000D076D">
      <w:pPr>
        <w:jc w:val="both"/>
        <w:rPr>
          <w:sz w:val="28"/>
          <w:szCs w:val="28"/>
        </w:rPr>
      </w:pPr>
    </w:p>
    <w:p w14:paraId="3C06F194" w14:textId="77777777" w:rsidR="000D076D" w:rsidRPr="000D076D" w:rsidRDefault="000D076D" w:rsidP="000D076D">
      <w:pPr>
        <w:pStyle w:val="Default"/>
        <w:jc w:val="both"/>
        <w:rPr>
          <w:rFonts w:ascii="Times New Roman" w:hAnsi="Times New Roman" w:cs="Times New Roman"/>
          <w:color w:val="auto"/>
          <w:sz w:val="28"/>
          <w:szCs w:val="28"/>
        </w:rPr>
      </w:pPr>
      <w:r w:rsidRPr="000D076D">
        <w:rPr>
          <w:rFonts w:ascii="Times New Roman" w:hAnsi="Times New Roman" w:cs="Times New Roman"/>
          <w:color w:val="auto"/>
          <w:sz w:val="28"/>
          <w:szCs w:val="28"/>
        </w:rPr>
        <w:t>Historically, Government has rolled other service area funding into Revenue Support Grant (RSG) and Settlement Funding Assessment (SFA), subsequently then subjecting these areas to year-on-year cuts. The cuts are notionally and proportionally applied to any grants rolled into the formula funding system, resulting in a decline in specific service area funding.</w:t>
      </w:r>
    </w:p>
    <w:p w14:paraId="716E9FEB" w14:textId="77777777" w:rsidR="000D076D" w:rsidRPr="000D076D" w:rsidRDefault="000D076D" w:rsidP="000D076D">
      <w:pPr>
        <w:pStyle w:val="Default"/>
        <w:jc w:val="both"/>
        <w:rPr>
          <w:rFonts w:ascii="Times New Roman" w:hAnsi="Times New Roman" w:cs="Times New Roman"/>
          <w:color w:val="auto"/>
          <w:sz w:val="28"/>
          <w:szCs w:val="28"/>
        </w:rPr>
      </w:pPr>
    </w:p>
    <w:p w14:paraId="3BF9DC74" w14:textId="77777777" w:rsidR="000D076D" w:rsidRPr="000D076D" w:rsidRDefault="000D076D" w:rsidP="000D076D">
      <w:pPr>
        <w:pStyle w:val="Default"/>
        <w:jc w:val="both"/>
        <w:rPr>
          <w:rFonts w:ascii="Times New Roman" w:hAnsi="Times New Roman" w:cs="Times New Roman"/>
          <w:color w:val="auto"/>
          <w:sz w:val="28"/>
          <w:szCs w:val="28"/>
        </w:rPr>
      </w:pPr>
      <w:r w:rsidRPr="000D076D">
        <w:rPr>
          <w:rFonts w:ascii="Times New Roman" w:hAnsi="Times New Roman" w:cs="Times New Roman"/>
          <w:color w:val="auto"/>
          <w:sz w:val="28"/>
          <w:szCs w:val="28"/>
        </w:rPr>
        <w:t xml:space="preserve">This creates significant risk for schools funding, rolling it into a wider formula funding mechanism would subject it to cuts in line with overall funding reductions. </w:t>
      </w:r>
    </w:p>
    <w:p w14:paraId="7B8B1F23" w14:textId="77777777" w:rsidR="000D076D" w:rsidRPr="000D076D" w:rsidRDefault="000D076D" w:rsidP="000D076D">
      <w:pPr>
        <w:pStyle w:val="Default"/>
        <w:tabs>
          <w:tab w:val="left" w:pos="6780"/>
        </w:tabs>
        <w:jc w:val="both"/>
        <w:rPr>
          <w:rFonts w:ascii="Times New Roman" w:hAnsi="Times New Roman" w:cs="Times New Roman"/>
          <w:color w:val="auto"/>
          <w:sz w:val="28"/>
          <w:szCs w:val="28"/>
        </w:rPr>
      </w:pPr>
      <w:r w:rsidRPr="000D076D">
        <w:rPr>
          <w:rFonts w:ascii="Times New Roman" w:hAnsi="Times New Roman" w:cs="Times New Roman"/>
          <w:color w:val="auto"/>
          <w:sz w:val="28"/>
          <w:szCs w:val="28"/>
        </w:rPr>
        <w:tab/>
      </w:r>
    </w:p>
    <w:p w14:paraId="2336691E" w14:textId="77777777" w:rsidR="000D076D" w:rsidRPr="000D076D" w:rsidRDefault="000D076D" w:rsidP="000D076D">
      <w:pPr>
        <w:pStyle w:val="Default"/>
        <w:jc w:val="both"/>
        <w:rPr>
          <w:rFonts w:ascii="Times New Roman" w:hAnsi="Times New Roman" w:cs="Times New Roman"/>
          <w:color w:val="auto"/>
          <w:sz w:val="28"/>
          <w:szCs w:val="28"/>
        </w:rPr>
      </w:pPr>
      <w:r w:rsidRPr="000D076D">
        <w:rPr>
          <w:rFonts w:ascii="Times New Roman" w:hAnsi="Times New Roman" w:cs="Times New Roman"/>
          <w:color w:val="auto"/>
          <w:sz w:val="28"/>
          <w:szCs w:val="28"/>
        </w:rPr>
        <w:t>Reductions in funding for central school services will adversely impact the level of support local authorities are able to offer schools. Throughout the pandemic, LA support has proven extremely valuable to schools, and current proposals may not acknowledge the scale of this support. This may consequently require a greater deal of accountability on the regional schools’ commissioners (RSCs) as well as their relationship with regulatory bodies.</w:t>
      </w:r>
    </w:p>
    <w:p w14:paraId="796B70D9" w14:textId="77777777" w:rsidR="000D076D" w:rsidRPr="000D076D" w:rsidRDefault="000D076D" w:rsidP="000D076D">
      <w:pPr>
        <w:pStyle w:val="Default"/>
        <w:jc w:val="both"/>
        <w:rPr>
          <w:rFonts w:ascii="Times New Roman" w:hAnsi="Times New Roman" w:cs="Times New Roman"/>
          <w:color w:val="auto"/>
          <w:sz w:val="28"/>
          <w:szCs w:val="28"/>
        </w:rPr>
      </w:pPr>
    </w:p>
    <w:p w14:paraId="29D52394" w14:textId="77777777" w:rsidR="000D076D" w:rsidRPr="000D076D" w:rsidRDefault="000D076D" w:rsidP="000D076D">
      <w:pPr>
        <w:pStyle w:val="Default"/>
        <w:jc w:val="both"/>
        <w:rPr>
          <w:rFonts w:ascii="Times New Roman" w:hAnsi="Times New Roman" w:cs="Times New Roman"/>
          <w:color w:val="auto"/>
          <w:sz w:val="28"/>
          <w:szCs w:val="28"/>
        </w:rPr>
      </w:pPr>
      <w:r w:rsidRPr="000D076D">
        <w:rPr>
          <w:rFonts w:ascii="Times New Roman" w:hAnsi="Times New Roman" w:cs="Times New Roman"/>
          <w:color w:val="auto"/>
          <w:sz w:val="28"/>
          <w:szCs w:val="28"/>
        </w:rPr>
        <w:t xml:space="preserve">LBM would request two guarantees. Firstly, if this funding is transferred, that it will be protected from reductions. Secondly, that transparency is provided by confirming specific funding levels within SFA in future Local Government Finance Settlements. </w:t>
      </w:r>
    </w:p>
    <w:p w14:paraId="70C2AA39" w14:textId="77777777" w:rsidR="000D076D" w:rsidRPr="000D076D" w:rsidRDefault="000D076D" w:rsidP="000D076D">
      <w:pPr>
        <w:jc w:val="both"/>
        <w:rPr>
          <w:sz w:val="28"/>
          <w:szCs w:val="28"/>
        </w:rPr>
      </w:pPr>
    </w:p>
    <w:p w14:paraId="77093527" w14:textId="77777777" w:rsidR="000D076D" w:rsidRPr="006A6E83" w:rsidRDefault="000D076D" w:rsidP="000D076D">
      <w:pPr>
        <w:pBdr>
          <w:top w:val="single" w:sz="4" w:space="1" w:color="auto"/>
          <w:left w:val="single" w:sz="4" w:space="4" w:color="auto"/>
          <w:bottom w:val="single" w:sz="4" w:space="1" w:color="auto"/>
          <w:right w:val="single" w:sz="4" w:space="4" w:color="auto"/>
        </w:pBdr>
        <w:rPr>
          <w:b/>
          <w:bCs/>
          <w:i/>
          <w:sz w:val="23"/>
          <w:szCs w:val="23"/>
        </w:rPr>
      </w:pPr>
      <w:r w:rsidRPr="006A6E83">
        <w:rPr>
          <w:b/>
          <w:bCs/>
          <w:i/>
          <w:sz w:val="23"/>
          <w:szCs w:val="23"/>
        </w:rPr>
        <w:t>Question 12: Do you agree with the proposal for a legacy grant to replace funding for unavoidable termination of employment and prudential borrowing costs?</w:t>
      </w:r>
    </w:p>
    <w:p w14:paraId="0F1D6317" w14:textId="77777777" w:rsidR="000D076D" w:rsidRDefault="000D076D" w:rsidP="000D076D">
      <w:pPr>
        <w:pStyle w:val="Heading2"/>
      </w:pPr>
    </w:p>
    <w:p w14:paraId="37492177" w14:textId="00B7329D" w:rsidR="000D076D" w:rsidRDefault="000D076D" w:rsidP="000D076D">
      <w:pPr>
        <w:pStyle w:val="Heading2"/>
      </w:pPr>
      <w:r>
        <w:t>Response</w:t>
      </w:r>
    </w:p>
    <w:p w14:paraId="0B95954B" w14:textId="4B596655" w:rsidR="000D076D" w:rsidRDefault="000D076D" w:rsidP="000D076D">
      <w:pPr>
        <w:jc w:val="both"/>
        <w:rPr>
          <w:rFonts w:cstheme="minorHAnsi"/>
          <w:sz w:val="28"/>
          <w:szCs w:val="28"/>
        </w:rPr>
      </w:pPr>
      <w:r>
        <w:rPr>
          <w:rFonts w:cstheme="minorHAnsi"/>
          <w:sz w:val="28"/>
          <w:szCs w:val="28"/>
        </w:rPr>
        <w:t>A legacy grant would be useful if support to local authorities continued until the expenditure ceased and is treated separately from the proposal to LGFS.</w:t>
      </w:r>
    </w:p>
    <w:p w14:paraId="3FB7A3BF" w14:textId="77777777" w:rsidR="000D076D" w:rsidRDefault="000D076D" w:rsidP="000D076D">
      <w:pPr>
        <w:jc w:val="both"/>
        <w:rPr>
          <w:rFonts w:cstheme="minorHAnsi"/>
          <w:sz w:val="28"/>
          <w:szCs w:val="28"/>
        </w:rPr>
      </w:pPr>
    </w:p>
    <w:p w14:paraId="048D2788" w14:textId="77777777" w:rsidR="000D076D" w:rsidRPr="006A6E83" w:rsidRDefault="000D076D" w:rsidP="000D076D">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i/>
          <w:sz w:val="23"/>
          <w:szCs w:val="23"/>
        </w:rPr>
      </w:pPr>
      <w:r w:rsidRPr="006A6E83">
        <w:rPr>
          <w:rFonts w:asciiTheme="minorHAnsi" w:hAnsiTheme="minorHAnsi" w:cstheme="minorHAnsi"/>
          <w:b/>
          <w:bCs/>
          <w:i/>
          <w:sz w:val="23"/>
          <w:szCs w:val="23"/>
        </w:rPr>
        <w:lastRenderedPageBreak/>
        <w:t xml:space="preserve">Question 13: How strongly do you feel that we should further investigate the possibility of moving maintained schools to being funded on an academic year basis? </w:t>
      </w:r>
    </w:p>
    <w:p w14:paraId="3632323F" w14:textId="77777777" w:rsidR="000D076D" w:rsidRDefault="000D076D" w:rsidP="000D076D">
      <w:pPr>
        <w:pStyle w:val="Default"/>
        <w:rPr>
          <w:sz w:val="23"/>
          <w:szCs w:val="23"/>
        </w:rPr>
      </w:pPr>
    </w:p>
    <w:p w14:paraId="3EBE6A50" w14:textId="77777777" w:rsidR="000D076D" w:rsidRDefault="000D076D" w:rsidP="000D076D">
      <w:pPr>
        <w:pStyle w:val="Heading2"/>
      </w:pPr>
      <w:r>
        <w:t>Response</w:t>
      </w:r>
    </w:p>
    <w:p w14:paraId="2A014738" w14:textId="77777777" w:rsidR="000D076D" w:rsidRPr="000D076D" w:rsidRDefault="000D076D" w:rsidP="000D076D">
      <w:pPr>
        <w:pStyle w:val="Default"/>
        <w:jc w:val="both"/>
        <w:rPr>
          <w:rFonts w:ascii="Times New Roman" w:hAnsi="Times New Roman" w:cs="Times New Roman"/>
          <w:sz w:val="28"/>
          <w:szCs w:val="28"/>
        </w:rPr>
      </w:pPr>
      <w:r w:rsidRPr="000D076D">
        <w:rPr>
          <w:rFonts w:ascii="Times New Roman" w:hAnsi="Times New Roman" w:cs="Times New Roman"/>
          <w:sz w:val="28"/>
          <w:szCs w:val="28"/>
        </w:rPr>
        <w:t>This movement would cause considerable closedown accounting transactions and confusion to schools and already having to manage and understanding the transition to NFF.  The recent business rates proposals and ESFA administering this is an example of LA confusion within schools.</w:t>
      </w:r>
    </w:p>
    <w:p w14:paraId="0E16061D" w14:textId="77777777" w:rsidR="000D076D" w:rsidRPr="000D076D" w:rsidRDefault="000D076D" w:rsidP="000D076D">
      <w:pPr>
        <w:pStyle w:val="Default"/>
        <w:jc w:val="both"/>
        <w:rPr>
          <w:rFonts w:ascii="Times New Roman" w:hAnsi="Times New Roman" w:cs="Times New Roman"/>
          <w:sz w:val="28"/>
          <w:szCs w:val="28"/>
        </w:rPr>
      </w:pPr>
    </w:p>
    <w:p w14:paraId="7DF5470C" w14:textId="77777777" w:rsidR="000D076D" w:rsidRPr="000D076D" w:rsidRDefault="000D076D" w:rsidP="000D076D">
      <w:pPr>
        <w:pStyle w:val="Default"/>
        <w:jc w:val="both"/>
        <w:rPr>
          <w:rFonts w:ascii="Times New Roman" w:hAnsi="Times New Roman" w:cs="Times New Roman"/>
          <w:sz w:val="28"/>
          <w:szCs w:val="28"/>
        </w:rPr>
      </w:pPr>
      <w:r w:rsidRPr="000D076D">
        <w:rPr>
          <w:rFonts w:ascii="Times New Roman" w:hAnsi="Times New Roman" w:cs="Times New Roman"/>
          <w:sz w:val="28"/>
          <w:szCs w:val="28"/>
        </w:rPr>
        <w:t>The LA closedown of financial accounts would include additional year end accruals to close the final DSG accounts and create additional work for the auditors and their approval of the accounts.</w:t>
      </w:r>
    </w:p>
    <w:p w14:paraId="45B38042" w14:textId="77777777" w:rsidR="000D076D" w:rsidRDefault="000D076D" w:rsidP="000D076D">
      <w:pPr>
        <w:pStyle w:val="Default"/>
        <w:rPr>
          <w:sz w:val="23"/>
          <w:szCs w:val="23"/>
        </w:rPr>
      </w:pPr>
    </w:p>
    <w:p w14:paraId="124C4935" w14:textId="77777777" w:rsidR="000D076D" w:rsidRPr="006A6E83" w:rsidRDefault="000D076D" w:rsidP="000D076D">
      <w:pPr>
        <w:pBdr>
          <w:top w:val="single" w:sz="4" w:space="1" w:color="auto"/>
          <w:left w:val="single" w:sz="4" w:space="4" w:color="auto"/>
          <w:bottom w:val="single" w:sz="4" w:space="1" w:color="auto"/>
          <w:right w:val="single" w:sz="4" w:space="4" w:color="auto"/>
        </w:pBdr>
        <w:rPr>
          <w:b/>
          <w:bCs/>
          <w:i/>
          <w:sz w:val="23"/>
          <w:szCs w:val="23"/>
        </w:rPr>
      </w:pPr>
      <w:r w:rsidRPr="006A6E83">
        <w:rPr>
          <w:b/>
          <w:bCs/>
          <w:i/>
          <w:sz w:val="23"/>
          <w:szCs w:val="23"/>
        </w:rPr>
        <w:t>Question 14: Are there any advantages or drawbacks to moving maintained schools to being funded on an academic year basis that you feel we should be aware of?</w:t>
      </w:r>
    </w:p>
    <w:p w14:paraId="1CA270E3" w14:textId="77777777" w:rsidR="000D076D" w:rsidRDefault="000D076D" w:rsidP="000D076D">
      <w:pPr>
        <w:pStyle w:val="Heading2"/>
      </w:pPr>
    </w:p>
    <w:p w14:paraId="13A138F1" w14:textId="17F4926F" w:rsidR="000D076D" w:rsidRDefault="000D076D" w:rsidP="000D076D">
      <w:pPr>
        <w:pStyle w:val="Heading2"/>
      </w:pPr>
      <w:r>
        <w:t>Response</w:t>
      </w:r>
    </w:p>
    <w:p w14:paraId="2B12425B" w14:textId="413E5BA8" w:rsidR="000D076D" w:rsidRPr="000D076D" w:rsidRDefault="000D076D" w:rsidP="000D076D">
      <w:pPr>
        <w:pStyle w:val="Default"/>
        <w:jc w:val="both"/>
        <w:rPr>
          <w:rFonts w:ascii="Times New Roman" w:hAnsi="Times New Roman" w:cs="Times New Roman"/>
          <w:sz w:val="28"/>
          <w:szCs w:val="28"/>
        </w:rPr>
      </w:pPr>
      <w:r w:rsidRPr="000D076D">
        <w:rPr>
          <w:rFonts w:ascii="Times New Roman" w:hAnsi="Times New Roman" w:cs="Times New Roman"/>
          <w:sz w:val="28"/>
          <w:szCs w:val="28"/>
        </w:rPr>
        <w:t xml:space="preserve">LA maintained school’s confusion of 5/12ths and 7/12ths calculation especially at closedown.  </w:t>
      </w:r>
      <w:r w:rsidR="006A6E83" w:rsidRPr="000D076D">
        <w:rPr>
          <w:rFonts w:ascii="Times New Roman" w:hAnsi="Times New Roman" w:cs="Times New Roman"/>
          <w:sz w:val="28"/>
          <w:szCs w:val="28"/>
        </w:rPr>
        <w:t>Cash flow</w:t>
      </w:r>
      <w:r w:rsidRPr="000D076D">
        <w:rPr>
          <w:rFonts w:ascii="Times New Roman" w:hAnsi="Times New Roman" w:cs="Times New Roman"/>
          <w:sz w:val="28"/>
          <w:szCs w:val="28"/>
        </w:rPr>
        <w:t xml:space="preserve"> issues with local schools who administer their own bank accounts. The natural progression of the a</w:t>
      </w:r>
      <w:r w:rsidR="006A6E83">
        <w:rPr>
          <w:rFonts w:ascii="Times New Roman" w:hAnsi="Times New Roman" w:cs="Times New Roman"/>
          <w:sz w:val="28"/>
          <w:szCs w:val="28"/>
        </w:rPr>
        <w:t>cademy</w:t>
      </w:r>
      <w:r w:rsidRPr="000D076D">
        <w:rPr>
          <w:rFonts w:ascii="Times New Roman" w:hAnsi="Times New Roman" w:cs="Times New Roman"/>
          <w:sz w:val="28"/>
          <w:szCs w:val="28"/>
        </w:rPr>
        <w:t xml:space="preserve"> agenda would be a simple progression for this to happen if schools convert to academy status.</w:t>
      </w:r>
    </w:p>
    <w:p w14:paraId="76885780" w14:textId="77777777" w:rsidR="000D076D" w:rsidRDefault="000D076D" w:rsidP="000D076D">
      <w:pPr>
        <w:pStyle w:val="Default"/>
        <w:rPr>
          <w:b/>
          <w:bCs/>
          <w:sz w:val="23"/>
          <w:szCs w:val="23"/>
        </w:rPr>
      </w:pPr>
    </w:p>
    <w:p w14:paraId="6791BD69" w14:textId="77777777" w:rsidR="000D076D" w:rsidRPr="006A6E83" w:rsidRDefault="000D076D" w:rsidP="000D076D">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i/>
          <w:sz w:val="23"/>
          <w:szCs w:val="23"/>
        </w:rPr>
      </w:pPr>
      <w:r w:rsidRPr="006A6E83">
        <w:rPr>
          <w:rFonts w:asciiTheme="minorHAnsi" w:hAnsiTheme="minorHAnsi" w:cstheme="minorHAnsi"/>
          <w:b/>
          <w:bCs/>
          <w:i/>
          <w:sz w:val="23"/>
          <w:szCs w:val="23"/>
        </w:rPr>
        <w:t xml:space="preserve">Question 15: Please provide any information that you consider we should take into account in assessing the equalities impact of the proposals for change. </w:t>
      </w:r>
    </w:p>
    <w:p w14:paraId="5D1C6558" w14:textId="77777777" w:rsidR="000D076D" w:rsidRDefault="000D076D" w:rsidP="000D076D">
      <w:pPr>
        <w:pStyle w:val="Default"/>
        <w:rPr>
          <w:sz w:val="23"/>
          <w:szCs w:val="23"/>
        </w:rPr>
      </w:pPr>
    </w:p>
    <w:p w14:paraId="2568D901" w14:textId="77777777" w:rsidR="000D076D" w:rsidRPr="009973DE" w:rsidRDefault="000D076D" w:rsidP="000D076D">
      <w:pPr>
        <w:pStyle w:val="Heading2"/>
        <w:tabs>
          <w:tab w:val="left" w:pos="2430"/>
        </w:tabs>
      </w:pPr>
      <w:r w:rsidRPr="009973DE">
        <w:t>Response</w:t>
      </w:r>
      <w:r>
        <w:tab/>
      </w:r>
    </w:p>
    <w:p w14:paraId="4259D4C1" w14:textId="77777777" w:rsidR="000D076D" w:rsidRPr="000D076D" w:rsidRDefault="000D076D" w:rsidP="000D076D">
      <w:pPr>
        <w:pStyle w:val="Default"/>
        <w:rPr>
          <w:rFonts w:ascii="Times New Roman" w:hAnsi="Times New Roman" w:cs="Times New Roman"/>
          <w:sz w:val="28"/>
          <w:szCs w:val="28"/>
        </w:rPr>
      </w:pPr>
      <w:r w:rsidRPr="000D076D">
        <w:rPr>
          <w:rFonts w:ascii="Times New Roman" w:hAnsi="Times New Roman" w:cs="Times New Roman"/>
          <w:sz w:val="28"/>
          <w:szCs w:val="28"/>
        </w:rPr>
        <w:t>None</w:t>
      </w:r>
    </w:p>
    <w:p w14:paraId="0B43BE58" w14:textId="77777777" w:rsidR="000D076D" w:rsidRDefault="000D076D" w:rsidP="000D076D">
      <w:pPr>
        <w:pStyle w:val="Default"/>
        <w:rPr>
          <w:sz w:val="23"/>
          <w:szCs w:val="23"/>
        </w:rPr>
      </w:pPr>
    </w:p>
    <w:p w14:paraId="40E9DB5C" w14:textId="77777777" w:rsidR="000D076D" w:rsidRPr="006A6E83" w:rsidRDefault="000D076D" w:rsidP="000D076D">
      <w:pPr>
        <w:pBdr>
          <w:top w:val="single" w:sz="4" w:space="1" w:color="auto"/>
          <w:left w:val="single" w:sz="4" w:space="4" w:color="auto"/>
          <w:bottom w:val="single" w:sz="4" w:space="1" w:color="auto"/>
          <w:right w:val="single" w:sz="4" w:space="4" w:color="auto"/>
        </w:pBdr>
        <w:rPr>
          <w:b/>
          <w:bCs/>
          <w:i/>
          <w:sz w:val="23"/>
          <w:szCs w:val="23"/>
        </w:rPr>
      </w:pPr>
      <w:r w:rsidRPr="006A6E83">
        <w:rPr>
          <w:b/>
          <w:bCs/>
          <w:i/>
          <w:sz w:val="23"/>
          <w:szCs w:val="23"/>
        </w:rPr>
        <w:t>Question 16: Are there any further comments that you wish to make about our proposed move to complete the reforms to the NFF?</w:t>
      </w:r>
    </w:p>
    <w:p w14:paraId="0D086EE2" w14:textId="77777777" w:rsidR="000D076D" w:rsidRDefault="000D076D" w:rsidP="000D076D">
      <w:pPr>
        <w:pStyle w:val="Heading2"/>
      </w:pPr>
    </w:p>
    <w:p w14:paraId="66912466" w14:textId="17BB71C6" w:rsidR="000D076D" w:rsidRDefault="000D076D" w:rsidP="000D076D">
      <w:pPr>
        <w:pStyle w:val="Heading2"/>
      </w:pPr>
      <w:r>
        <w:t>Response</w:t>
      </w:r>
    </w:p>
    <w:p w14:paraId="692E3DEF" w14:textId="77777777" w:rsidR="000D076D" w:rsidRDefault="000D076D" w:rsidP="000D076D">
      <w:pPr>
        <w:jc w:val="both"/>
        <w:rPr>
          <w:rFonts w:cstheme="minorHAnsi"/>
          <w:sz w:val="28"/>
          <w:szCs w:val="28"/>
        </w:rPr>
      </w:pPr>
      <w:r>
        <w:rPr>
          <w:rFonts w:cstheme="minorHAnsi"/>
          <w:sz w:val="28"/>
          <w:szCs w:val="28"/>
        </w:rPr>
        <w:t>Where is the SEND consultation and published outcomes due to local authority’s pressures on high needs block and support of SEND children and young people.  The SEND consultation did not include special schools and the current NFF does not include special schools either (different funding block), yet these schools are also experiencing financial pressures on budgets and do not have any consultation channel to raise these concerns apart from directly to LA’s.</w:t>
      </w:r>
    </w:p>
    <w:p w14:paraId="2E0AF4B5" w14:textId="77777777" w:rsidR="000D076D" w:rsidRPr="003F6F4D" w:rsidRDefault="000D076D" w:rsidP="000D076D">
      <w:pPr>
        <w:rPr>
          <w:rFonts w:cstheme="minorHAnsi"/>
          <w:sz w:val="28"/>
          <w:szCs w:val="28"/>
        </w:rPr>
      </w:pPr>
    </w:p>
    <w:p w14:paraId="755A9965" w14:textId="77777777" w:rsidR="000D076D" w:rsidRPr="003F6F4D" w:rsidRDefault="000D076D" w:rsidP="000D076D">
      <w:pPr>
        <w:rPr>
          <w:rFonts w:cstheme="minorHAnsi"/>
          <w:sz w:val="28"/>
          <w:szCs w:val="28"/>
        </w:rPr>
      </w:pPr>
    </w:p>
    <w:p w14:paraId="2FBBA922" w14:textId="77777777" w:rsidR="000D076D" w:rsidRPr="003F6F4D" w:rsidRDefault="000D076D" w:rsidP="000D076D">
      <w:pPr>
        <w:rPr>
          <w:rFonts w:cstheme="minorHAnsi"/>
          <w:sz w:val="28"/>
          <w:szCs w:val="28"/>
        </w:rPr>
      </w:pPr>
    </w:p>
    <w:p w14:paraId="4D54577D" w14:textId="77777777" w:rsidR="000D076D" w:rsidRDefault="000D076D" w:rsidP="000D076D">
      <w:pPr>
        <w:rPr>
          <w:rFonts w:cstheme="minorHAnsi"/>
          <w:sz w:val="28"/>
          <w:szCs w:val="28"/>
        </w:rPr>
      </w:pPr>
    </w:p>
    <w:p w14:paraId="37AD43F5" w14:textId="77777777" w:rsidR="000D076D" w:rsidRPr="003F6F4D" w:rsidRDefault="000D076D" w:rsidP="000D076D">
      <w:pPr>
        <w:pStyle w:val="Heading3"/>
        <w:rPr>
          <w:color w:val="auto"/>
          <w:sz w:val="16"/>
          <w:szCs w:val="16"/>
        </w:rPr>
      </w:pPr>
      <w:r w:rsidRPr="003F6F4D">
        <w:rPr>
          <w:color w:val="auto"/>
          <w:sz w:val="16"/>
          <w:szCs w:val="16"/>
        </w:rPr>
        <w:t>P. Harvey</w:t>
      </w:r>
    </w:p>
    <w:p w14:paraId="0D14D6EA" w14:textId="77777777" w:rsidR="000D076D" w:rsidRPr="003F6F4D" w:rsidRDefault="000D076D" w:rsidP="000D076D">
      <w:pPr>
        <w:pStyle w:val="Heading3"/>
        <w:rPr>
          <w:color w:val="auto"/>
          <w:sz w:val="16"/>
          <w:szCs w:val="16"/>
        </w:rPr>
      </w:pPr>
      <w:r w:rsidRPr="003F6F4D">
        <w:rPr>
          <w:color w:val="auto"/>
          <w:sz w:val="16"/>
          <w:szCs w:val="16"/>
        </w:rPr>
        <w:t>15</w:t>
      </w:r>
      <w:r w:rsidRPr="003F6F4D">
        <w:rPr>
          <w:color w:val="auto"/>
          <w:sz w:val="16"/>
          <w:szCs w:val="16"/>
          <w:vertAlign w:val="superscript"/>
        </w:rPr>
        <w:t>th</w:t>
      </w:r>
      <w:r w:rsidRPr="003F6F4D">
        <w:rPr>
          <w:color w:val="auto"/>
          <w:sz w:val="16"/>
          <w:szCs w:val="16"/>
        </w:rPr>
        <w:t xml:space="preserve"> September 2021</w:t>
      </w:r>
    </w:p>
    <w:sectPr w:rsidR="000D076D" w:rsidRPr="003F6F4D" w:rsidSect="00A01FEF">
      <w:headerReference w:type="default" r:id="rId16"/>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0FD3A" w14:textId="77777777" w:rsidR="00792E31" w:rsidRDefault="00792E31">
      <w:r>
        <w:separator/>
      </w:r>
    </w:p>
  </w:endnote>
  <w:endnote w:type="continuationSeparator" w:id="0">
    <w:p w14:paraId="3176FD92" w14:textId="77777777" w:rsidR="00792E31" w:rsidRDefault="0079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8DF8A" w14:textId="60F8E0E3" w:rsidR="00ED4DB9" w:rsidRDefault="00ED4DB9" w:rsidP="00C26836">
    <w:pPr>
      <w:pStyle w:val="Footer"/>
      <w:jc w:val="center"/>
    </w:pPr>
    <w:r>
      <w:rPr>
        <w:rStyle w:val="PageNumber"/>
      </w:rPr>
      <w:fldChar w:fldCharType="begin"/>
    </w:r>
    <w:r>
      <w:rPr>
        <w:rStyle w:val="PageNumber"/>
      </w:rPr>
      <w:instrText xml:space="preserve"> PAGE </w:instrText>
    </w:r>
    <w:r>
      <w:rPr>
        <w:rStyle w:val="PageNumber"/>
      </w:rPr>
      <w:fldChar w:fldCharType="separate"/>
    </w:r>
    <w:r w:rsidR="006A6E83">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200FC" w14:textId="77777777" w:rsidR="00792E31" w:rsidRDefault="00792E31">
      <w:r>
        <w:separator/>
      </w:r>
    </w:p>
  </w:footnote>
  <w:footnote w:type="continuationSeparator" w:id="0">
    <w:p w14:paraId="14BD8C5F" w14:textId="77777777" w:rsidR="00792E31" w:rsidRDefault="00792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B512" w14:textId="77777777" w:rsidR="00526EFA" w:rsidRDefault="006A6E83" w:rsidP="00526EFA">
    <w:pPr>
      <w:pStyle w:val="Header"/>
      <w:jc w:val="right"/>
    </w:pPr>
    <w:r>
      <w:t>Annex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4F83"/>
    <w:multiLevelType w:val="hybridMultilevel"/>
    <w:tmpl w:val="3AD8C858"/>
    <w:lvl w:ilvl="0" w:tplc="BA501DD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334286"/>
    <w:multiLevelType w:val="multilevel"/>
    <w:tmpl w:val="189A27F6"/>
    <w:lvl w:ilvl="0">
      <w:start w:val="7"/>
      <w:numFmt w:val="decimal"/>
      <w:lvlText w:val="%1."/>
      <w:lvlJc w:val="left"/>
      <w:pPr>
        <w:ind w:left="720" w:hanging="360"/>
      </w:pPr>
      <w:rPr>
        <w:rFonts w:cs="Arial"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D8E2185"/>
    <w:multiLevelType w:val="hybridMultilevel"/>
    <w:tmpl w:val="A84873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A66B57"/>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472398"/>
    <w:multiLevelType w:val="hybridMultilevel"/>
    <w:tmpl w:val="CDCCA968"/>
    <w:lvl w:ilvl="0" w:tplc="B9265FF2">
      <w:start w:val="1"/>
      <w:numFmt w:val="decimal"/>
      <w:lvlText w:val="3.%1"/>
      <w:lvlJc w:val="left"/>
      <w:pPr>
        <w:tabs>
          <w:tab w:val="num" w:pos="927"/>
        </w:tabs>
        <w:ind w:left="927" w:hanging="567"/>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FC7F22"/>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0B3A4D"/>
    <w:multiLevelType w:val="multilevel"/>
    <w:tmpl w:val="CFAA2802"/>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60406BE"/>
    <w:multiLevelType w:val="hybridMultilevel"/>
    <w:tmpl w:val="5B289B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B750D"/>
    <w:multiLevelType w:val="hybridMultilevel"/>
    <w:tmpl w:val="8842F0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B0269E4"/>
    <w:multiLevelType w:val="hybridMultilevel"/>
    <w:tmpl w:val="3DC0831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41094773"/>
    <w:multiLevelType w:val="multilevel"/>
    <w:tmpl w:val="BD5E4880"/>
    <w:lvl w:ilvl="0">
      <w:start w:val="2"/>
      <w:numFmt w:val="decimal"/>
      <w:lvlText w:val="%1"/>
      <w:lvlJc w:val="left"/>
      <w:pPr>
        <w:ind w:left="360" w:hanging="360"/>
      </w:pPr>
      <w:rPr>
        <w:rFonts w:cs="Times New Roman" w:hint="default"/>
        <w:sz w:val="28"/>
        <w:szCs w:val="28"/>
      </w:rPr>
    </w:lvl>
    <w:lvl w:ilvl="1">
      <w:start w:val="7"/>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1" w15:restartNumberingAfterBreak="0">
    <w:nsid w:val="43C47A8E"/>
    <w:multiLevelType w:val="hybridMultilevel"/>
    <w:tmpl w:val="0BB456C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EE064C"/>
    <w:multiLevelType w:val="hybridMultilevel"/>
    <w:tmpl w:val="758E27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ABC553D"/>
    <w:multiLevelType w:val="multilevel"/>
    <w:tmpl w:val="A40A80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D018DE"/>
    <w:multiLevelType w:val="multilevel"/>
    <w:tmpl w:val="565C8D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2787BF3"/>
    <w:multiLevelType w:val="multilevel"/>
    <w:tmpl w:val="C1623E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8A7326"/>
    <w:multiLevelType w:val="hybridMultilevel"/>
    <w:tmpl w:val="C8087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5632B"/>
    <w:multiLevelType w:val="multilevel"/>
    <w:tmpl w:val="7E5E7044"/>
    <w:lvl w:ilvl="0">
      <w:start w:val="2"/>
      <w:numFmt w:val="decimal"/>
      <w:lvlText w:val="%1."/>
      <w:lvlJc w:val="left"/>
      <w:pPr>
        <w:tabs>
          <w:tab w:val="num" w:pos="720"/>
        </w:tabs>
        <w:ind w:left="720" w:hanging="360"/>
      </w:pPr>
      <w:rPr>
        <w:rFonts w:hint="default"/>
        <w:b/>
        <w:sz w:val="28"/>
        <w:szCs w:val="28"/>
      </w:rPr>
    </w:lvl>
    <w:lvl w:ilvl="1">
      <w:start w:val="1"/>
      <w:numFmt w:val="decimal"/>
      <w:isLgl/>
      <w:lvlText w:val="%1.%2"/>
      <w:lvlJc w:val="left"/>
      <w:pPr>
        <w:tabs>
          <w:tab w:val="num" w:pos="720"/>
        </w:tabs>
        <w:ind w:left="720" w:hanging="360"/>
      </w:pPr>
      <w:rPr>
        <w:rFonts w:ascii="Arial" w:hAnsi="Arial" w:cs="Arial"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678245F0"/>
    <w:multiLevelType w:val="multilevel"/>
    <w:tmpl w:val="A9C8E50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F5F5ECF"/>
    <w:multiLevelType w:val="hybridMultilevel"/>
    <w:tmpl w:val="008E9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C221EE"/>
    <w:multiLevelType w:val="multilevel"/>
    <w:tmpl w:val="2F16E560"/>
    <w:lvl w:ilvl="0">
      <w:start w:val="1"/>
      <w:numFmt w:val="decimal"/>
      <w:lvlText w:val="%1"/>
      <w:lvlJc w:val="left"/>
      <w:pPr>
        <w:ind w:left="570" w:hanging="570"/>
      </w:pPr>
      <w:rPr>
        <w:rFonts w:ascii="Calibri" w:hAnsi="Calibri" w:cs="Times New Roman" w:hint="default"/>
      </w:rPr>
    </w:lvl>
    <w:lvl w:ilvl="1">
      <w:start w:val="1"/>
      <w:numFmt w:val="decimal"/>
      <w:lvlText w:val="%1.%2"/>
      <w:lvlJc w:val="left"/>
      <w:pPr>
        <w:ind w:left="712" w:hanging="570"/>
      </w:pPr>
      <w:rPr>
        <w:rFonts w:ascii="Arial" w:hAnsi="Arial" w:cs="Arial" w:hint="default"/>
      </w:rPr>
    </w:lvl>
    <w:lvl w:ilvl="2">
      <w:start w:val="1"/>
      <w:numFmt w:val="decimal"/>
      <w:lvlText w:val="%1.%2.%3"/>
      <w:lvlJc w:val="left"/>
      <w:pPr>
        <w:ind w:left="720" w:hanging="720"/>
      </w:pPr>
      <w:rPr>
        <w:rFonts w:ascii="Calibri" w:hAnsi="Calibri" w:cs="Times New Roman" w:hint="default"/>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21" w15:restartNumberingAfterBreak="0">
    <w:nsid w:val="725E5A16"/>
    <w:multiLevelType w:val="hybridMultilevel"/>
    <w:tmpl w:val="03D66AFC"/>
    <w:lvl w:ilvl="0" w:tplc="FFFFFFFF">
      <w:start w:val="2"/>
      <w:numFmt w:val="upperLetter"/>
      <w:pStyle w:val="Heading7"/>
      <w:lvlText w:val="%1."/>
      <w:lvlJc w:val="left"/>
      <w:pPr>
        <w:tabs>
          <w:tab w:val="num" w:pos="855"/>
        </w:tabs>
        <w:ind w:left="855" w:hanging="495"/>
      </w:pPr>
      <w:rPr>
        <w:rFonts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78983AA5"/>
    <w:multiLevelType w:val="hybridMultilevel"/>
    <w:tmpl w:val="13C603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98B2095"/>
    <w:multiLevelType w:val="multilevel"/>
    <w:tmpl w:val="12BAC974"/>
    <w:lvl w:ilvl="0">
      <w:start w:val="1"/>
      <w:numFmt w:val="decimal"/>
      <w:lvlText w:val="%1."/>
      <w:lvlJc w:val="left"/>
      <w:pPr>
        <w:tabs>
          <w:tab w:val="num" w:pos="360"/>
        </w:tabs>
        <w:ind w:left="360" w:hanging="360"/>
      </w:pPr>
      <w:rPr>
        <w:rFonts w:hint="default"/>
        <w:sz w:val="24"/>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7CAA5097"/>
    <w:multiLevelType w:val="hybridMultilevel"/>
    <w:tmpl w:val="CA80472C"/>
    <w:lvl w:ilvl="0" w:tplc="04090017">
      <w:start w:val="1"/>
      <w:numFmt w:val="lowerLetter"/>
      <w:lvlText w:val="%1)"/>
      <w:lvlJc w:val="left"/>
      <w:pPr>
        <w:tabs>
          <w:tab w:val="num" w:pos="720"/>
        </w:tabs>
        <w:ind w:left="720" w:hanging="360"/>
      </w:pPr>
      <w:rPr>
        <w:rFonts w:hint="default"/>
      </w:rPr>
    </w:lvl>
    <w:lvl w:ilvl="1" w:tplc="317016FC">
      <w:start w:val="1"/>
      <w:numFmt w:val="lowerLetter"/>
      <w:lvlText w:val="%2)"/>
      <w:lvlJc w:val="left"/>
      <w:pPr>
        <w:tabs>
          <w:tab w:val="num" w:pos="1440"/>
        </w:tabs>
        <w:ind w:left="1440" w:hanging="360"/>
      </w:pPr>
      <w:rPr>
        <w:rFonts w:hint="default"/>
      </w:rPr>
    </w:lvl>
    <w:lvl w:ilvl="2" w:tplc="5B9CEB36">
      <w:start w:val="1"/>
      <w:numFmt w:val="decimal"/>
      <w:lvlText w:val="%3)"/>
      <w:lvlJc w:val="left"/>
      <w:pPr>
        <w:tabs>
          <w:tab w:val="num" w:pos="2340"/>
        </w:tabs>
        <w:ind w:left="2340" w:hanging="360"/>
      </w:pPr>
      <w:rPr>
        <w:rFonts w:hint="default"/>
      </w:rPr>
    </w:lvl>
    <w:lvl w:ilvl="3" w:tplc="AF921F4A">
      <w:start w:val="1"/>
      <w:numFmt w:val="decimal"/>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7"/>
  </w:num>
  <w:num w:numId="3">
    <w:abstractNumId w:val="23"/>
  </w:num>
  <w:num w:numId="4">
    <w:abstractNumId w:val="24"/>
  </w:num>
  <w:num w:numId="5">
    <w:abstractNumId w:val="5"/>
  </w:num>
  <w:num w:numId="6">
    <w:abstractNumId w:val="3"/>
  </w:num>
  <w:num w:numId="7">
    <w:abstractNumId w:val="11"/>
  </w:num>
  <w:num w:numId="8">
    <w:abstractNumId w:val="4"/>
  </w:num>
  <w:num w:numId="9">
    <w:abstractNumId w:val="22"/>
  </w:num>
  <w:num w:numId="10">
    <w:abstractNumId w:val="13"/>
  </w:num>
  <w:num w:numId="11">
    <w:abstractNumId w:val="9"/>
  </w:num>
  <w:num w:numId="12">
    <w:abstractNumId w:val="19"/>
  </w:num>
  <w:num w:numId="13">
    <w:abstractNumId w:val="7"/>
  </w:num>
  <w:num w:numId="14">
    <w:abstractNumId w:val="10"/>
  </w:num>
  <w:num w:numId="15">
    <w:abstractNumId w:val="20"/>
  </w:num>
  <w:num w:numId="16">
    <w:abstractNumId w:val="6"/>
  </w:num>
  <w:num w:numId="17">
    <w:abstractNumId w:val="16"/>
  </w:num>
  <w:num w:numId="18">
    <w:abstractNumId w:val="8"/>
  </w:num>
  <w:num w:numId="19">
    <w:abstractNumId w:val="15"/>
  </w:num>
  <w:num w:numId="20">
    <w:abstractNumId w:val="1"/>
  </w:num>
  <w:num w:numId="21">
    <w:abstractNumId w:val="12"/>
  </w:num>
  <w:num w:numId="22">
    <w:abstractNumId w:val="2"/>
  </w:num>
  <w:num w:numId="23">
    <w:abstractNumId w:val="14"/>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F"/>
    <w:rsid w:val="000061A6"/>
    <w:rsid w:val="0000691E"/>
    <w:rsid w:val="0001074A"/>
    <w:rsid w:val="00012FC7"/>
    <w:rsid w:val="000140C2"/>
    <w:rsid w:val="00016282"/>
    <w:rsid w:val="000326AB"/>
    <w:rsid w:val="0003678F"/>
    <w:rsid w:val="0004085A"/>
    <w:rsid w:val="0004318D"/>
    <w:rsid w:val="00065F87"/>
    <w:rsid w:val="000807D3"/>
    <w:rsid w:val="00092A34"/>
    <w:rsid w:val="00094B92"/>
    <w:rsid w:val="000A481E"/>
    <w:rsid w:val="000A4BC1"/>
    <w:rsid w:val="000C1D8C"/>
    <w:rsid w:val="000C4D73"/>
    <w:rsid w:val="000C5D71"/>
    <w:rsid w:val="000C6058"/>
    <w:rsid w:val="000D076D"/>
    <w:rsid w:val="000E1F3C"/>
    <w:rsid w:val="001033F9"/>
    <w:rsid w:val="00106BE5"/>
    <w:rsid w:val="0010723E"/>
    <w:rsid w:val="00117944"/>
    <w:rsid w:val="00121D13"/>
    <w:rsid w:val="00122298"/>
    <w:rsid w:val="001248F4"/>
    <w:rsid w:val="00141ECE"/>
    <w:rsid w:val="001429C1"/>
    <w:rsid w:val="00143C85"/>
    <w:rsid w:val="00144791"/>
    <w:rsid w:val="00154EB3"/>
    <w:rsid w:val="0015558B"/>
    <w:rsid w:val="00157B9D"/>
    <w:rsid w:val="0016255C"/>
    <w:rsid w:val="001641D2"/>
    <w:rsid w:val="00170C17"/>
    <w:rsid w:val="00183D42"/>
    <w:rsid w:val="00184291"/>
    <w:rsid w:val="001B290E"/>
    <w:rsid w:val="001B3EEC"/>
    <w:rsid w:val="001C2942"/>
    <w:rsid w:val="001E226F"/>
    <w:rsid w:val="001F00EE"/>
    <w:rsid w:val="002072A9"/>
    <w:rsid w:val="00213F8C"/>
    <w:rsid w:val="00216C52"/>
    <w:rsid w:val="0023442C"/>
    <w:rsid w:val="00242B8A"/>
    <w:rsid w:val="00245A24"/>
    <w:rsid w:val="00256D7D"/>
    <w:rsid w:val="002A5533"/>
    <w:rsid w:val="002A58DA"/>
    <w:rsid w:val="002B2619"/>
    <w:rsid w:val="002C3DA9"/>
    <w:rsid w:val="002D49FF"/>
    <w:rsid w:val="002D7326"/>
    <w:rsid w:val="002E2DD2"/>
    <w:rsid w:val="002E4C70"/>
    <w:rsid w:val="002E5D2C"/>
    <w:rsid w:val="002E6C06"/>
    <w:rsid w:val="002F1848"/>
    <w:rsid w:val="002F1DC0"/>
    <w:rsid w:val="002F5D49"/>
    <w:rsid w:val="00301840"/>
    <w:rsid w:val="00303DE8"/>
    <w:rsid w:val="003115BC"/>
    <w:rsid w:val="003145B9"/>
    <w:rsid w:val="0032100F"/>
    <w:rsid w:val="00331168"/>
    <w:rsid w:val="0033186E"/>
    <w:rsid w:val="00336451"/>
    <w:rsid w:val="003424DF"/>
    <w:rsid w:val="00343C21"/>
    <w:rsid w:val="003462EF"/>
    <w:rsid w:val="00351248"/>
    <w:rsid w:val="00351E20"/>
    <w:rsid w:val="00353C19"/>
    <w:rsid w:val="003637ED"/>
    <w:rsid w:val="00364C3C"/>
    <w:rsid w:val="00370DEA"/>
    <w:rsid w:val="00374717"/>
    <w:rsid w:val="00381A20"/>
    <w:rsid w:val="003858E1"/>
    <w:rsid w:val="00393871"/>
    <w:rsid w:val="0039464E"/>
    <w:rsid w:val="003A3819"/>
    <w:rsid w:val="003A6389"/>
    <w:rsid w:val="003C296D"/>
    <w:rsid w:val="003C33A0"/>
    <w:rsid w:val="003C6DF5"/>
    <w:rsid w:val="003D4421"/>
    <w:rsid w:val="003E0433"/>
    <w:rsid w:val="003E2D2B"/>
    <w:rsid w:val="003F23A2"/>
    <w:rsid w:val="003F67F4"/>
    <w:rsid w:val="003F6F87"/>
    <w:rsid w:val="004026A3"/>
    <w:rsid w:val="004028B7"/>
    <w:rsid w:val="00406709"/>
    <w:rsid w:val="00420DD5"/>
    <w:rsid w:val="00427415"/>
    <w:rsid w:val="00434147"/>
    <w:rsid w:val="004341EF"/>
    <w:rsid w:val="00434CBA"/>
    <w:rsid w:val="00444101"/>
    <w:rsid w:val="00454DBB"/>
    <w:rsid w:val="0046269E"/>
    <w:rsid w:val="0046274E"/>
    <w:rsid w:val="0048394B"/>
    <w:rsid w:val="0049324F"/>
    <w:rsid w:val="00494166"/>
    <w:rsid w:val="004953F4"/>
    <w:rsid w:val="00497E39"/>
    <w:rsid w:val="004A251B"/>
    <w:rsid w:val="004B01CC"/>
    <w:rsid w:val="004B3B1A"/>
    <w:rsid w:val="004B48DB"/>
    <w:rsid w:val="004B584D"/>
    <w:rsid w:val="004C1A79"/>
    <w:rsid w:val="004C26F6"/>
    <w:rsid w:val="004C4667"/>
    <w:rsid w:val="004D1B64"/>
    <w:rsid w:val="004D691B"/>
    <w:rsid w:val="004D7AA9"/>
    <w:rsid w:val="004E2A4A"/>
    <w:rsid w:val="004E2D0C"/>
    <w:rsid w:val="004E42C3"/>
    <w:rsid w:val="004F3DD0"/>
    <w:rsid w:val="004F465B"/>
    <w:rsid w:val="004F608F"/>
    <w:rsid w:val="004F666E"/>
    <w:rsid w:val="005040BF"/>
    <w:rsid w:val="00505B71"/>
    <w:rsid w:val="005068B4"/>
    <w:rsid w:val="00507060"/>
    <w:rsid w:val="00512D3D"/>
    <w:rsid w:val="00513BFE"/>
    <w:rsid w:val="00514789"/>
    <w:rsid w:val="00525FAB"/>
    <w:rsid w:val="00530C6A"/>
    <w:rsid w:val="005427CD"/>
    <w:rsid w:val="00546E1F"/>
    <w:rsid w:val="00550FBD"/>
    <w:rsid w:val="005549CF"/>
    <w:rsid w:val="00564475"/>
    <w:rsid w:val="00570446"/>
    <w:rsid w:val="00572C3A"/>
    <w:rsid w:val="00580DE7"/>
    <w:rsid w:val="00582341"/>
    <w:rsid w:val="005847C2"/>
    <w:rsid w:val="00587F20"/>
    <w:rsid w:val="00592E9A"/>
    <w:rsid w:val="00597B40"/>
    <w:rsid w:val="005A18BF"/>
    <w:rsid w:val="005A35EF"/>
    <w:rsid w:val="005A6F57"/>
    <w:rsid w:val="005B6731"/>
    <w:rsid w:val="005C1000"/>
    <w:rsid w:val="005C145A"/>
    <w:rsid w:val="005C46BA"/>
    <w:rsid w:val="005D371C"/>
    <w:rsid w:val="005E2F0B"/>
    <w:rsid w:val="00604C6B"/>
    <w:rsid w:val="00607485"/>
    <w:rsid w:val="006209BC"/>
    <w:rsid w:val="006322B8"/>
    <w:rsid w:val="00643561"/>
    <w:rsid w:val="00644C14"/>
    <w:rsid w:val="006471F5"/>
    <w:rsid w:val="00653F37"/>
    <w:rsid w:val="00663DE7"/>
    <w:rsid w:val="00671182"/>
    <w:rsid w:val="00672CDF"/>
    <w:rsid w:val="00680B5F"/>
    <w:rsid w:val="00681E65"/>
    <w:rsid w:val="00683BD8"/>
    <w:rsid w:val="00686825"/>
    <w:rsid w:val="00696B84"/>
    <w:rsid w:val="006A339E"/>
    <w:rsid w:val="006A6E83"/>
    <w:rsid w:val="006B1374"/>
    <w:rsid w:val="006D4054"/>
    <w:rsid w:val="006D711B"/>
    <w:rsid w:val="006D7E4A"/>
    <w:rsid w:val="006E2D7D"/>
    <w:rsid w:val="006F4A1C"/>
    <w:rsid w:val="00711BD4"/>
    <w:rsid w:val="00713DED"/>
    <w:rsid w:val="00724D07"/>
    <w:rsid w:val="00724DEF"/>
    <w:rsid w:val="00733210"/>
    <w:rsid w:val="007361E3"/>
    <w:rsid w:val="007526AC"/>
    <w:rsid w:val="007566B6"/>
    <w:rsid w:val="007569A5"/>
    <w:rsid w:val="00761FFD"/>
    <w:rsid w:val="00764FE9"/>
    <w:rsid w:val="00784BCB"/>
    <w:rsid w:val="0078798C"/>
    <w:rsid w:val="00792E31"/>
    <w:rsid w:val="00794AD2"/>
    <w:rsid w:val="007970B2"/>
    <w:rsid w:val="007A27F3"/>
    <w:rsid w:val="007A647C"/>
    <w:rsid w:val="007A76CE"/>
    <w:rsid w:val="007B6BFF"/>
    <w:rsid w:val="007C3D37"/>
    <w:rsid w:val="007D16FA"/>
    <w:rsid w:val="007D548B"/>
    <w:rsid w:val="007D76BB"/>
    <w:rsid w:val="007E18A6"/>
    <w:rsid w:val="008074BF"/>
    <w:rsid w:val="008177A8"/>
    <w:rsid w:val="00845D6B"/>
    <w:rsid w:val="008543A8"/>
    <w:rsid w:val="00854689"/>
    <w:rsid w:val="0085649F"/>
    <w:rsid w:val="008704E6"/>
    <w:rsid w:val="0087408B"/>
    <w:rsid w:val="008839A2"/>
    <w:rsid w:val="0088517C"/>
    <w:rsid w:val="00897888"/>
    <w:rsid w:val="008A37A6"/>
    <w:rsid w:val="008B1D69"/>
    <w:rsid w:val="008B2747"/>
    <w:rsid w:val="008C0CE5"/>
    <w:rsid w:val="008C2492"/>
    <w:rsid w:val="008C7253"/>
    <w:rsid w:val="008D3595"/>
    <w:rsid w:val="008D4BA3"/>
    <w:rsid w:val="008E7D17"/>
    <w:rsid w:val="008F6925"/>
    <w:rsid w:val="008F6F65"/>
    <w:rsid w:val="00901A2A"/>
    <w:rsid w:val="00901EA9"/>
    <w:rsid w:val="00904A8D"/>
    <w:rsid w:val="00904B01"/>
    <w:rsid w:val="00912D0D"/>
    <w:rsid w:val="00924EB9"/>
    <w:rsid w:val="009441C7"/>
    <w:rsid w:val="00950F3B"/>
    <w:rsid w:val="0095355D"/>
    <w:rsid w:val="0095398C"/>
    <w:rsid w:val="009554C6"/>
    <w:rsid w:val="009572E5"/>
    <w:rsid w:val="00957EC7"/>
    <w:rsid w:val="009650E1"/>
    <w:rsid w:val="009667C5"/>
    <w:rsid w:val="009667E9"/>
    <w:rsid w:val="00973896"/>
    <w:rsid w:val="00974BB9"/>
    <w:rsid w:val="00976028"/>
    <w:rsid w:val="009762DB"/>
    <w:rsid w:val="009771D4"/>
    <w:rsid w:val="00984B5A"/>
    <w:rsid w:val="009929BF"/>
    <w:rsid w:val="00994A67"/>
    <w:rsid w:val="009A1477"/>
    <w:rsid w:val="009A40A9"/>
    <w:rsid w:val="009A442E"/>
    <w:rsid w:val="009A5A5B"/>
    <w:rsid w:val="009B14E1"/>
    <w:rsid w:val="009B37FF"/>
    <w:rsid w:val="009B3DC1"/>
    <w:rsid w:val="009B3F86"/>
    <w:rsid w:val="009E4340"/>
    <w:rsid w:val="009F09E4"/>
    <w:rsid w:val="009F4D56"/>
    <w:rsid w:val="009F7BE8"/>
    <w:rsid w:val="00A112D7"/>
    <w:rsid w:val="00A26786"/>
    <w:rsid w:val="00A2692E"/>
    <w:rsid w:val="00A26B18"/>
    <w:rsid w:val="00A36A30"/>
    <w:rsid w:val="00A37025"/>
    <w:rsid w:val="00A610B3"/>
    <w:rsid w:val="00A61F61"/>
    <w:rsid w:val="00A61FF3"/>
    <w:rsid w:val="00A66555"/>
    <w:rsid w:val="00A76875"/>
    <w:rsid w:val="00A82255"/>
    <w:rsid w:val="00A87FA9"/>
    <w:rsid w:val="00A90509"/>
    <w:rsid w:val="00AA199E"/>
    <w:rsid w:val="00AA24F9"/>
    <w:rsid w:val="00AA6869"/>
    <w:rsid w:val="00AC6787"/>
    <w:rsid w:val="00AD34A6"/>
    <w:rsid w:val="00AD3C1F"/>
    <w:rsid w:val="00AD3F1E"/>
    <w:rsid w:val="00AF4704"/>
    <w:rsid w:val="00B104BE"/>
    <w:rsid w:val="00B176B0"/>
    <w:rsid w:val="00B31368"/>
    <w:rsid w:val="00B431E4"/>
    <w:rsid w:val="00B43AD2"/>
    <w:rsid w:val="00B52B92"/>
    <w:rsid w:val="00B534C0"/>
    <w:rsid w:val="00B546F6"/>
    <w:rsid w:val="00B56C5A"/>
    <w:rsid w:val="00B61DA8"/>
    <w:rsid w:val="00B762F5"/>
    <w:rsid w:val="00B85A87"/>
    <w:rsid w:val="00B941F8"/>
    <w:rsid w:val="00B943DC"/>
    <w:rsid w:val="00BA1EAE"/>
    <w:rsid w:val="00BA4EBA"/>
    <w:rsid w:val="00BB218E"/>
    <w:rsid w:val="00BB2686"/>
    <w:rsid w:val="00BB2FF0"/>
    <w:rsid w:val="00BB4E1A"/>
    <w:rsid w:val="00BC431A"/>
    <w:rsid w:val="00BC436B"/>
    <w:rsid w:val="00BC605B"/>
    <w:rsid w:val="00BC6C74"/>
    <w:rsid w:val="00BC7631"/>
    <w:rsid w:val="00BD2328"/>
    <w:rsid w:val="00BF0306"/>
    <w:rsid w:val="00BF20A7"/>
    <w:rsid w:val="00C00F60"/>
    <w:rsid w:val="00C128EE"/>
    <w:rsid w:val="00C1519A"/>
    <w:rsid w:val="00C169F2"/>
    <w:rsid w:val="00C2019B"/>
    <w:rsid w:val="00C2334F"/>
    <w:rsid w:val="00C24871"/>
    <w:rsid w:val="00C25F0C"/>
    <w:rsid w:val="00C26836"/>
    <w:rsid w:val="00C27B0A"/>
    <w:rsid w:val="00C51C77"/>
    <w:rsid w:val="00C54632"/>
    <w:rsid w:val="00C67F62"/>
    <w:rsid w:val="00C73472"/>
    <w:rsid w:val="00C738AA"/>
    <w:rsid w:val="00C871AB"/>
    <w:rsid w:val="00C9048B"/>
    <w:rsid w:val="00CA12E5"/>
    <w:rsid w:val="00CA1E66"/>
    <w:rsid w:val="00CC1850"/>
    <w:rsid w:val="00CE04AA"/>
    <w:rsid w:val="00CF028F"/>
    <w:rsid w:val="00CF272F"/>
    <w:rsid w:val="00CF7E04"/>
    <w:rsid w:val="00D045CE"/>
    <w:rsid w:val="00D06244"/>
    <w:rsid w:val="00D105BA"/>
    <w:rsid w:val="00D112CE"/>
    <w:rsid w:val="00D1297D"/>
    <w:rsid w:val="00D13B47"/>
    <w:rsid w:val="00D30DF0"/>
    <w:rsid w:val="00D34CB4"/>
    <w:rsid w:val="00D37D47"/>
    <w:rsid w:val="00D40974"/>
    <w:rsid w:val="00D46306"/>
    <w:rsid w:val="00D46748"/>
    <w:rsid w:val="00D54559"/>
    <w:rsid w:val="00D56828"/>
    <w:rsid w:val="00D61E3B"/>
    <w:rsid w:val="00D74F47"/>
    <w:rsid w:val="00D77692"/>
    <w:rsid w:val="00D779B7"/>
    <w:rsid w:val="00D82BA1"/>
    <w:rsid w:val="00D900DE"/>
    <w:rsid w:val="00D94D56"/>
    <w:rsid w:val="00DA121F"/>
    <w:rsid w:val="00DA5409"/>
    <w:rsid w:val="00DA5E36"/>
    <w:rsid w:val="00DB287A"/>
    <w:rsid w:val="00DB5E20"/>
    <w:rsid w:val="00DC4649"/>
    <w:rsid w:val="00DD1476"/>
    <w:rsid w:val="00DE37CE"/>
    <w:rsid w:val="00DE6FB8"/>
    <w:rsid w:val="00DF26E2"/>
    <w:rsid w:val="00DF7374"/>
    <w:rsid w:val="00DF7FB6"/>
    <w:rsid w:val="00E0589F"/>
    <w:rsid w:val="00E0736B"/>
    <w:rsid w:val="00E2270D"/>
    <w:rsid w:val="00E24221"/>
    <w:rsid w:val="00E3150F"/>
    <w:rsid w:val="00E332A8"/>
    <w:rsid w:val="00E34F17"/>
    <w:rsid w:val="00E36E2A"/>
    <w:rsid w:val="00E44082"/>
    <w:rsid w:val="00E449D2"/>
    <w:rsid w:val="00E5034B"/>
    <w:rsid w:val="00E548B6"/>
    <w:rsid w:val="00E674DA"/>
    <w:rsid w:val="00E71027"/>
    <w:rsid w:val="00E8735D"/>
    <w:rsid w:val="00E920AF"/>
    <w:rsid w:val="00EA6779"/>
    <w:rsid w:val="00EB17F5"/>
    <w:rsid w:val="00EB1FA6"/>
    <w:rsid w:val="00EB4D93"/>
    <w:rsid w:val="00EC17FC"/>
    <w:rsid w:val="00ED3147"/>
    <w:rsid w:val="00ED4DB9"/>
    <w:rsid w:val="00ED58EA"/>
    <w:rsid w:val="00EE0770"/>
    <w:rsid w:val="00EE45A9"/>
    <w:rsid w:val="00EF11E0"/>
    <w:rsid w:val="00F0466C"/>
    <w:rsid w:val="00F12ABA"/>
    <w:rsid w:val="00F354BC"/>
    <w:rsid w:val="00F41D5A"/>
    <w:rsid w:val="00F4301A"/>
    <w:rsid w:val="00F44A44"/>
    <w:rsid w:val="00F44EA8"/>
    <w:rsid w:val="00F51AB8"/>
    <w:rsid w:val="00F523E8"/>
    <w:rsid w:val="00F60F1C"/>
    <w:rsid w:val="00F65181"/>
    <w:rsid w:val="00F65D9A"/>
    <w:rsid w:val="00F716DF"/>
    <w:rsid w:val="00F7235E"/>
    <w:rsid w:val="00FB0C79"/>
    <w:rsid w:val="00FD1901"/>
    <w:rsid w:val="00FE39E5"/>
    <w:rsid w:val="00FE51E2"/>
    <w:rsid w:val="00FE531C"/>
    <w:rsid w:val="00FF1CE9"/>
    <w:rsid w:val="00FF32FA"/>
    <w:rsid w:val="00FF6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153B43"/>
  <w15:docId w15:val="{BC04A20D-F374-49FF-A206-00724408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0D076D"/>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546E1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D076D"/>
    <w:pPr>
      <w:keepNext/>
      <w:keepLines/>
      <w:spacing w:before="40" w:line="259" w:lineRule="auto"/>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qFormat/>
    <w:pPr>
      <w:keepNext/>
      <w:numPr>
        <w:numId w:val="1"/>
      </w:numPr>
      <w:outlineLvl w:val="6"/>
    </w:pPr>
    <w:rPr>
      <w:rFonts w:ascii="Arial" w:hAnsi="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Arial" w:hAnsi="Arial"/>
      <w:szCs w:val="20"/>
    </w:rPr>
  </w:style>
  <w:style w:type="character" w:styleId="Hyperlink">
    <w:name w:val="Hyperlink"/>
    <w:uiPriority w:val="99"/>
    <w:rPr>
      <w:color w:val="0000FF"/>
      <w:u w:val="single"/>
    </w:rPr>
  </w:style>
  <w:style w:type="paragraph" w:styleId="BodyText3">
    <w:name w:val="Body Text 3"/>
    <w:basedOn w:val="Normal"/>
    <w:rPr>
      <w:rFonts w:ascii="Arial" w:hAnsi="Arial"/>
      <w:b/>
      <w:bCs/>
      <w:szCs w:val="20"/>
    </w:rPr>
  </w:style>
  <w:style w:type="paragraph" w:styleId="BodyTextIndent3">
    <w:name w:val="Body Text Indent 3"/>
    <w:basedOn w:val="Normal"/>
    <w:pPr>
      <w:ind w:left="720"/>
    </w:pPr>
    <w:rPr>
      <w:rFonts w:ascii="Arial" w:hAnsi="Arial" w:cs="Arial"/>
      <w:sz w:val="22"/>
      <w:szCs w:val="20"/>
    </w:rPr>
  </w:style>
  <w:style w:type="paragraph" w:styleId="Title">
    <w:name w:val="Title"/>
    <w:basedOn w:val="Normal"/>
    <w:qFormat/>
    <w:pPr>
      <w:jc w:val="center"/>
    </w:pPr>
    <w:rPr>
      <w:b/>
      <w:bCs/>
      <w:u w:val="single"/>
    </w:rPr>
  </w:style>
  <w:style w:type="paragraph" w:styleId="Subtitle">
    <w:name w:val="Subtitle"/>
    <w:basedOn w:val="Normal"/>
    <w:qFormat/>
    <w:pPr>
      <w:jc w:val="center"/>
    </w:pPr>
    <w:rPr>
      <w:rFonts w:ascii="Arial" w:hAnsi="Arial" w:cs="Arial"/>
      <w:b/>
      <w:bCs/>
      <w:szCs w:val="20"/>
    </w:rPr>
  </w:style>
  <w:style w:type="paragraph" w:styleId="BodyText">
    <w:name w:val="Body Text"/>
    <w:basedOn w:val="Normal"/>
    <w:rsid w:val="00A26B18"/>
    <w:pPr>
      <w:spacing w:after="120"/>
    </w:pPr>
  </w:style>
  <w:style w:type="paragraph" w:styleId="Footer">
    <w:name w:val="footer"/>
    <w:basedOn w:val="Normal"/>
    <w:rsid w:val="00C26836"/>
    <w:pPr>
      <w:tabs>
        <w:tab w:val="center" w:pos="4153"/>
        <w:tab w:val="right" w:pos="8306"/>
      </w:tabs>
    </w:pPr>
  </w:style>
  <w:style w:type="character" w:styleId="PageNumber">
    <w:name w:val="page number"/>
    <w:basedOn w:val="DefaultParagraphFont"/>
    <w:rsid w:val="00C26836"/>
  </w:style>
  <w:style w:type="paragraph" w:styleId="ListParagraph">
    <w:name w:val="List Paragraph"/>
    <w:basedOn w:val="Normal"/>
    <w:uiPriority w:val="34"/>
    <w:qFormat/>
    <w:rsid w:val="00F65D9A"/>
    <w:pPr>
      <w:ind w:left="720"/>
    </w:pPr>
  </w:style>
  <w:style w:type="character" w:styleId="Emphasis">
    <w:name w:val="Emphasis"/>
    <w:uiPriority w:val="20"/>
    <w:qFormat/>
    <w:rsid w:val="00976028"/>
    <w:rPr>
      <w:i/>
      <w:iCs/>
    </w:rPr>
  </w:style>
  <w:style w:type="paragraph" w:styleId="BalloonText">
    <w:name w:val="Balloon Text"/>
    <w:basedOn w:val="Normal"/>
    <w:link w:val="BalloonTextChar"/>
    <w:rsid w:val="009929BF"/>
    <w:rPr>
      <w:rFonts w:ascii="Tahoma" w:hAnsi="Tahoma" w:cs="Tahoma"/>
      <w:sz w:val="16"/>
      <w:szCs w:val="16"/>
    </w:rPr>
  </w:style>
  <w:style w:type="character" w:customStyle="1" w:styleId="BalloonTextChar">
    <w:name w:val="Balloon Text Char"/>
    <w:basedOn w:val="DefaultParagraphFont"/>
    <w:link w:val="BalloonText"/>
    <w:rsid w:val="009929BF"/>
    <w:rPr>
      <w:rFonts w:ascii="Tahoma" w:hAnsi="Tahoma" w:cs="Tahoma"/>
      <w:sz w:val="16"/>
      <w:szCs w:val="16"/>
      <w:lang w:eastAsia="en-US"/>
    </w:rPr>
  </w:style>
  <w:style w:type="paragraph" w:styleId="Revision">
    <w:name w:val="Revision"/>
    <w:hidden/>
    <w:uiPriority w:val="99"/>
    <w:semiHidden/>
    <w:rsid w:val="007A647C"/>
    <w:rPr>
      <w:sz w:val="24"/>
      <w:szCs w:val="24"/>
      <w:lang w:eastAsia="en-US"/>
    </w:rPr>
  </w:style>
  <w:style w:type="table" w:customStyle="1" w:styleId="TableGrid2">
    <w:name w:val="Table Grid2"/>
    <w:basedOn w:val="TableNormal"/>
    <w:next w:val="TableGrid"/>
    <w:uiPriority w:val="39"/>
    <w:rsid w:val="002D49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D4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0326AB"/>
    <w:rPr>
      <w:sz w:val="20"/>
      <w:szCs w:val="20"/>
    </w:rPr>
  </w:style>
  <w:style w:type="character" w:customStyle="1" w:styleId="FootnoteTextChar">
    <w:name w:val="Footnote Text Char"/>
    <w:basedOn w:val="DefaultParagraphFont"/>
    <w:link w:val="FootnoteText"/>
    <w:semiHidden/>
    <w:rsid w:val="000326AB"/>
    <w:rPr>
      <w:lang w:eastAsia="en-US"/>
    </w:rPr>
  </w:style>
  <w:style w:type="character" w:styleId="FootnoteReference">
    <w:name w:val="footnote reference"/>
    <w:basedOn w:val="DefaultParagraphFont"/>
    <w:semiHidden/>
    <w:unhideWhenUsed/>
    <w:rsid w:val="000326AB"/>
    <w:rPr>
      <w:vertAlign w:val="superscript"/>
    </w:rPr>
  </w:style>
  <w:style w:type="paragraph" w:styleId="NoSpacing">
    <w:name w:val="No Spacing"/>
    <w:uiPriority w:val="1"/>
    <w:qFormat/>
    <w:rsid w:val="00C54632"/>
    <w:rPr>
      <w:rFonts w:ascii="Calibri" w:eastAsia="Calibri" w:hAnsi="Calibri"/>
      <w:sz w:val="22"/>
      <w:szCs w:val="22"/>
      <w:lang w:eastAsia="en-US"/>
    </w:rPr>
  </w:style>
  <w:style w:type="character" w:styleId="FollowedHyperlink">
    <w:name w:val="FollowedHyperlink"/>
    <w:basedOn w:val="DefaultParagraphFont"/>
    <w:semiHidden/>
    <w:unhideWhenUsed/>
    <w:rsid w:val="005847C2"/>
    <w:rPr>
      <w:color w:val="800080" w:themeColor="followedHyperlink"/>
      <w:u w:val="single"/>
    </w:rPr>
  </w:style>
  <w:style w:type="character" w:customStyle="1" w:styleId="Heading2Char">
    <w:name w:val="Heading 2 Char"/>
    <w:basedOn w:val="DefaultParagraphFont"/>
    <w:link w:val="Heading2"/>
    <w:semiHidden/>
    <w:rsid w:val="00546E1F"/>
    <w:rPr>
      <w:rFonts w:asciiTheme="majorHAnsi" w:eastAsiaTheme="majorEastAsia" w:hAnsiTheme="majorHAnsi" w:cstheme="majorBidi"/>
      <w:color w:val="365F91" w:themeColor="accent1" w:themeShade="BF"/>
      <w:sz w:val="26"/>
      <w:szCs w:val="26"/>
      <w:lang w:eastAsia="en-US"/>
    </w:rPr>
  </w:style>
  <w:style w:type="character" w:customStyle="1" w:styleId="Heading1Char">
    <w:name w:val="Heading 1 Char"/>
    <w:basedOn w:val="DefaultParagraphFont"/>
    <w:link w:val="Heading1"/>
    <w:uiPriority w:val="9"/>
    <w:rsid w:val="000D076D"/>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uiPriority w:val="9"/>
    <w:rsid w:val="000D076D"/>
    <w:rPr>
      <w:rFonts w:asciiTheme="majorHAnsi" w:eastAsiaTheme="majorEastAsia" w:hAnsiTheme="majorHAnsi" w:cstheme="majorBidi"/>
      <w:color w:val="243F60" w:themeColor="accent1" w:themeShade="7F"/>
      <w:sz w:val="24"/>
      <w:szCs w:val="24"/>
      <w:lang w:eastAsia="en-US"/>
    </w:rPr>
  </w:style>
  <w:style w:type="character" w:customStyle="1" w:styleId="HeaderChar">
    <w:name w:val="Header Char"/>
    <w:basedOn w:val="DefaultParagraphFont"/>
    <w:link w:val="Header"/>
    <w:uiPriority w:val="99"/>
    <w:rsid w:val="000D076D"/>
    <w:rPr>
      <w:rFonts w:ascii="Arial" w:hAnsi="Arial"/>
      <w:sz w:val="24"/>
      <w:lang w:eastAsia="en-US"/>
    </w:rPr>
  </w:style>
  <w:style w:type="paragraph" w:customStyle="1" w:styleId="Default">
    <w:name w:val="Default"/>
    <w:rsid w:val="000D076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53399">
      <w:bodyDiv w:val="1"/>
      <w:marLeft w:val="0"/>
      <w:marRight w:val="0"/>
      <w:marTop w:val="0"/>
      <w:marBottom w:val="0"/>
      <w:divBdr>
        <w:top w:val="none" w:sz="0" w:space="0" w:color="auto"/>
        <w:left w:val="none" w:sz="0" w:space="0" w:color="auto"/>
        <w:bottom w:val="none" w:sz="0" w:space="0" w:color="auto"/>
        <w:right w:val="none" w:sz="0" w:space="0" w:color="auto"/>
      </w:divBdr>
    </w:div>
    <w:div w:id="287779069">
      <w:bodyDiv w:val="1"/>
      <w:marLeft w:val="0"/>
      <w:marRight w:val="0"/>
      <w:marTop w:val="0"/>
      <w:marBottom w:val="0"/>
      <w:divBdr>
        <w:top w:val="none" w:sz="0" w:space="0" w:color="auto"/>
        <w:left w:val="none" w:sz="0" w:space="0" w:color="auto"/>
        <w:bottom w:val="none" w:sz="0" w:space="0" w:color="auto"/>
        <w:right w:val="none" w:sz="0" w:space="0" w:color="auto"/>
      </w:divBdr>
    </w:div>
    <w:div w:id="413817398">
      <w:bodyDiv w:val="1"/>
      <w:marLeft w:val="0"/>
      <w:marRight w:val="0"/>
      <w:marTop w:val="0"/>
      <w:marBottom w:val="0"/>
      <w:divBdr>
        <w:top w:val="none" w:sz="0" w:space="0" w:color="auto"/>
        <w:left w:val="none" w:sz="0" w:space="0" w:color="auto"/>
        <w:bottom w:val="none" w:sz="0" w:space="0" w:color="auto"/>
        <w:right w:val="none" w:sz="0" w:space="0" w:color="auto"/>
      </w:divBdr>
    </w:div>
    <w:div w:id="424811781">
      <w:bodyDiv w:val="1"/>
      <w:marLeft w:val="0"/>
      <w:marRight w:val="0"/>
      <w:marTop w:val="0"/>
      <w:marBottom w:val="0"/>
      <w:divBdr>
        <w:top w:val="none" w:sz="0" w:space="0" w:color="auto"/>
        <w:left w:val="none" w:sz="0" w:space="0" w:color="auto"/>
        <w:bottom w:val="none" w:sz="0" w:space="0" w:color="auto"/>
        <w:right w:val="none" w:sz="0" w:space="0" w:color="auto"/>
      </w:divBdr>
    </w:div>
    <w:div w:id="443886653">
      <w:bodyDiv w:val="1"/>
      <w:marLeft w:val="0"/>
      <w:marRight w:val="0"/>
      <w:marTop w:val="0"/>
      <w:marBottom w:val="0"/>
      <w:divBdr>
        <w:top w:val="none" w:sz="0" w:space="0" w:color="auto"/>
        <w:left w:val="none" w:sz="0" w:space="0" w:color="auto"/>
        <w:bottom w:val="none" w:sz="0" w:space="0" w:color="auto"/>
        <w:right w:val="none" w:sz="0" w:space="0" w:color="auto"/>
      </w:divBdr>
    </w:div>
    <w:div w:id="572088048">
      <w:bodyDiv w:val="1"/>
      <w:marLeft w:val="0"/>
      <w:marRight w:val="0"/>
      <w:marTop w:val="0"/>
      <w:marBottom w:val="0"/>
      <w:divBdr>
        <w:top w:val="none" w:sz="0" w:space="0" w:color="auto"/>
        <w:left w:val="none" w:sz="0" w:space="0" w:color="auto"/>
        <w:bottom w:val="none" w:sz="0" w:space="0" w:color="auto"/>
        <w:right w:val="none" w:sz="0" w:space="0" w:color="auto"/>
      </w:divBdr>
    </w:div>
    <w:div w:id="607203364">
      <w:bodyDiv w:val="1"/>
      <w:marLeft w:val="0"/>
      <w:marRight w:val="0"/>
      <w:marTop w:val="0"/>
      <w:marBottom w:val="0"/>
      <w:divBdr>
        <w:top w:val="none" w:sz="0" w:space="0" w:color="auto"/>
        <w:left w:val="none" w:sz="0" w:space="0" w:color="auto"/>
        <w:bottom w:val="none" w:sz="0" w:space="0" w:color="auto"/>
        <w:right w:val="none" w:sz="0" w:space="0" w:color="auto"/>
      </w:divBdr>
    </w:div>
    <w:div w:id="623654719">
      <w:bodyDiv w:val="1"/>
      <w:marLeft w:val="0"/>
      <w:marRight w:val="0"/>
      <w:marTop w:val="0"/>
      <w:marBottom w:val="0"/>
      <w:divBdr>
        <w:top w:val="none" w:sz="0" w:space="0" w:color="auto"/>
        <w:left w:val="none" w:sz="0" w:space="0" w:color="auto"/>
        <w:bottom w:val="none" w:sz="0" w:space="0" w:color="auto"/>
        <w:right w:val="none" w:sz="0" w:space="0" w:color="auto"/>
      </w:divBdr>
    </w:div>
    <w:div w:id="782115038">
      <w:bodyDiv w:val="1"/>
      <w:marLeft w:val="0"/>
      <w:marRight w:val="0"/>
      <w:marTop w:val="0"/>
      <w:marBottom w:val="0"/>
      <w:divBdr>
        <w:top w:val="none" w:sz="0" w:space="0" w:color="auto"/>
        <w:left w:val="none" w:sz="0" w:space="0" w:color="auto"/>
        <w:bottom w:val="none" w:sz="0" w:space="0" w:color="auto"/>
        <w:right w:val="none" w:sz="0" w:space="0" w:color="auto"/>
      </w:divBdr>
    </w:div>
    <w:div w:id="849762879">
      <w:bodyDiv w:val="1"/>
      <w:marLeft w:val="0"/>
      <w:marRight w:val="0"/>
      <w:marTop w:val="0"/>
      <w:marBottom w:val="0"/>
      <w:divBdr>
        <w:top w:val="none" w:sz="0" w:space="0" w:color="auto"/>
        <w:left w:val="none" w:sz="0" w:space="0" w:color="auto"/>
        <w:bottom w:val="none" w:sz="0" w:space="0" w:color="auto"/>
        <w:right w:val="none" w:sz="0" w:space="0" w:color="auto"/>
      </w:divBdr>
    </w:div>
    <w:div w:id="909997004">
      <w:bodyDiv w:val="1"/>
      <w:marLeft w:val="0"/>
      <w:marRight w:val="0"/>
      <w:marTop w:val="0"/>
      <w:marBottom w:val="0"/>
      <w:divBdr>
        <w:top w:val="none" w:sz="0" w:space="0" w:color="auto"/>
        <w:left w:val="none" w:sz="0" w:space="0" w:color="auto"/>
        <w:bottom w:val="none" w:sz="0" w:space="0" w:color="auto"/>
        <w:right w:val="none" w:sz="0" w:space="0" w:color="auto"/>
      </w:divBdr>
    </w:div>
    <w:div w:id="932467897">
      <w:bodyDiv w:val="1"/>
      <w:marLeft w:val="0"/>
      <w:marRight w:val="0"/>
      <w:marTop w:val="0"/>
      <w:marBottom w:val="0"/>
      <w:divBdr>
        <w:top w:val="none" w:sz="0" w:space="0" w:color="auto"/>
        <w:left w:val="none" w:sz="0" w:space="0" w:color="auto"/>
        <w:bottom w:val="none" w:sz="0" w:space="0" w:color="auto"/>
        <w:right w:val="none" w:sz="0" w:space="0" w:color="auto"/>
      </w:divBdr>
    </w:div>
    <w:div w:id="937906924">
      <w:bodyDiv w:val="1"/>
      <w:marLeft w:val="0"/>
      <w:marRight w:val="0"/>
      <w:marTop w:val="0"/>
      <w:marBottom w:val="0"/>
      <w:divBdr>
        <w:top w:val="none" w:sz="0" w:space="0" w:color="auto"/>
        <w:left w:val="none" w:sz="0" w:space="0" w:color="auto"/>
        <w:bottom w:val="none" w:sz="0" w:space="0" w:color="auto"/>
        <w:right w:val="none" w:sz="0" w:space="0" w:color="auto"/>
      </w:divBdr>
    </w:div>
    <w:div w:id="979071459">
      <w:bodyDiv w:val="1"/>
      <w:marLeft w:val="0"/>
      <w:marRight w:val="0"/>
      <w:marTop w:val="0"/>
      <w:marBottom w:val="0"/>
      <w:divBdr>
        <w:top w:val="none" w:sz="0" w:space="0" w:color="auto"/>
        <w:left w:val="none" w:sz="0" w:space="0" w:color="auto"/>
        <w:bottom w:val="none" w:sz="0" w:space="0" w:color="auto"/>
        <w:right w:val="none" w:sz="0" w:space="0" w:color="auto"/>
      </w:divBdr>
    </w:div>
    <w:div w:id="1155072372">
      <w:bodyDiv w:val="1"/>
      <w:marLeft w:val="0"/>
      <w:marRight w:val="0"/>
      <w:marTop w:val="0"/>
      <w:marBottom w:val="0"/>
      <w:divBdr>
        <w:top w:val="none" w:sz="0" w:space="0" w:color="auto"/>
        <w:left w:val="none" w:sz="0" w:space="0" w:color="auto"/>
        <w:bottom w:val="none" w:sz="0" w:space="0" w:color="auto"/>
        <w:right w:val="none" w:sz="0" w:space="0" w:color="auto"/>
      </w:divBdr>
    </w:div>
    <w:div w:id="1413576954">
      <w:bodyDiv w:val="1"/>
      <w:marLeft w:val="0"/>
      <w:marRight w:val="0"/>
      <w:marTop w:val="0"/>
      <w:marBottom w:val="0"/>
      <w:divBdr>
        <w:top w:val="none" w:sz="0" w:space="0" w:color="auto"/>
        <w:left w:val="none" w:sz="0" w:space="0" w:color="auto"/>
        <w:bottom w:val="none" w:sz="0" w:space="0" w:color="auto"/>
        <w:right w:val="none" w:sz="0" w:space="0" w:color="auto"/>
      </w:divBdr>
    </w:div>
    <w:div w:id="1575385757">
      <w:bodyDiv w:val="1"/>
      <w:marLeft w:val="0"/>
      <w:marRight w:val="0"/>
      <w:marTop w:val="0"/>
      <w:marBottom w:val="0"/>
      <w:divBdr>
        <w:top w:val="none" w:sz="0" w:space="0" w:color="auto"/>
        <w:left w:val="none" w:sz="0" w:space="0" w:color="auto"/>
        <w:bottom w:val="none" w:sz="0" w:space="0" w:color="auto"/>
        <w:right w:val="none" w:sz="0" w:space="0" w:color="auto"/>
      </w:divBdr>
    </w:div>
    <w:div w:id="1589000611">
      <w:bodyDiv w:val="1"/>
      <w:marLeft w:val="0"/>
      <w:marRight w:val="0"/>
      <w:marTop w:val="0"/>
      <w:marBottom w:val="0"/>
      <w:divBdr>
        <w:top w:val="none" w:sz="0" w:space="0" w:color="auto"/>
        <w:left w:val="none" w:sz="0" w:space="0" w:color="auto"/>
        <w:bottom w:val="none" w:sz="0" w:space="0" w:color="auto"/>
        <w:right w:val="none" w:sz="0" w:space="0" w:color="auto"/>
      </w:divBdr>
    </w:div>
    <w:div w:id="1694527412">
      <w:bodyDiv w:val="1"/>
      <w:marLeft w:val="0"/>
      <w:marRight w:val="0"/>
      <w:marTop w:val="0"/>
      <w:marBottom w:val="0"/>
      <w:divBdr>
        <w:top w:val="none" w:sz="0" w:space="0" w:color="auto"/>
        <w:left w:val="none" w:sz="0" w:space="0" w:color="auto"/>
        <w:bottom w:val="none" w:sz="0" w:space="0" w:color="auto"/>
        <w:right w:val="none" w:sz="0" w:space="0" w:color="auto"/>
      </w:divBdr>
    </w:div>
    <w:div w:id="1816027781">
      <w:bodyDiv w:val="1"/>
      <w:marLeft w:val="0"/>
      <w:marRight w:val="0"/>
      <w:marTop w:val="0"/>
      <w:marBottom w:val="0"/>
      <w:divBdr>
        <w:top w:val="none" w:sz="0" w:space="0" w:color="auto"/>
        <w:left w:val="none" w:sz="0" w:space="0" w:color="auto"/>
        <w:bottom w:val="none" w:sz="0" w:space="0" w:color="auto"/>
        <w:right w:val="none" w:sz="0" w:space="0" w:color="auto"/>
      </w:divBdr>
    </w:div>
    <w:div w:id="1868367045">
      <w:bodyDiv w:val="1"/>
      <w:marLeft w:val="0"/>
      <w:marRight w:val="0"/>
      <w:marTop w:val="0"/>
      <w:marBottom w:val="0"/>
      <w:divBdr>
        <w:top w:val="none" w:sz="0" w:space="0" w:color="auto"/>
        <w:left w:val="none" w:sz="0" w:space="0" w:color="auto"/>
        <w:bottom w:val="none" w:sz="0" w:space="0" w:color="auto"/>
        <w:right w:val="none" w:sz="0" w:space="0" w:color="auto"/>
      </w:divBdr>
    </w:div>
    <w:div w:id="1913930128">
      <w:bodyDiv w:val="1"/>
      <w:marLeft w:val="0"/>
      <w:marRight w:val="0"/>
      <w:marTop w:val="0"/>
      <w:marBottom w:val="0"/>
      <w:divBdr>
        <w:top w:val="none" w:sz="0" w:space="0" w:color="auto"/>
        <w:left w:val="none" w:sz="0" w:space="0" w:color="auto"/>
        <w:bottom w:val="none" w:sz="0" w:space="0" w:color="auto"/>
        <w:right w:val="none" w:sz="0" w:space="0" w:color="auto"/>
      </w:divBdr>
    </w:div>
    <w:div w:id="1985623746">
      <w:bodyDiv w:val="1"/>
      <w:marLeft w:val="0"/>
      <w:marRight w:val="0"/>
      <w:marTop w:val="0"/>
      <w:marBottom w:val="0"/>
      <w:divBdr>
        <w:top w:val="none" w:sz="0" w:space="0" w:color="auto"/>
        <w:left w:val="none" w:sz="0" w:space="0" w:color="auto"/>
        <w:bottom w:val="none" w:sz="0" w:space="0" w:color="auto"/>
        <w:right w:val="none" w:sz="0" w:space="0" w:color="auto"/>
      </w:divBdr>
    </w:div>
    <w:div w:id="1999727633">
      <w:bodyDiv w:val="1"/>
      <w:marLeft w:val="0"/>
      <w:marRight w:val="0"/>
      <w:marTop w:val="0"/>
      <w:marBottom w:val="0"/>
      <w:divBdr>
        <w:top w:val="none" w:sz="0" w:space="0" w:color="auto"/>
        <w:left w:val="none" w:sz="0" w:space="0" w:color="auto"/>
        <w:bottom w:val="none" w:sz="0" w:space="0" w:color="auto"/>
        <w:right w:val="none" w:sz="0" w:space="0" w:color="auto"/>
      </w:divBdr>
    </w:div>
    <w:div w:id="21117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erto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ricia.harvey@merton.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education.gov.uk/funding-policy-unit/completing-our-reforms-to-the-nff/" TargetMode="Externa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3EC0B-095D-4F5D-BAAC-0904B5B571F0}"/>
</file>

<file path=customXml/itemProps2.xml><?xml version="1.0" encoding="utf-8"?>
<ds:datastoreItem xmlns:ds="http://schemas.openxmlformats.org/officeDocument/2006/customXml" ds:itemID="{A053E11A-CF94-49E9-BFBA-193E4AFC980D}">
  <ds:schemaRefs>
    <ds:schemaRef ds:uri="http://schemas.microsoft.com/sharepoint/v3/contenttype/forms"/>
  </ds:schemaRefs>
</ds:datastoreItem>
</file>

<file path=customXml/itemProps3.xml><?xml version="1.0" encoding="utf-8"?>
<ds:datastoreItem xmlns:ds="http://schemas.openxmlformats.org/officeDocument/2006/customXml" ds:itemID="{61A0DF6A-5E37-4283-91AD-C92AD7216C5B}">
  <ds:schemaRefs>
    <ds:schemaRef ds:uri="http://schemas.microsoft.com/office/infopath/2007/PartnerControls"/>
    <ds:schemaRef ds:uri="http://purl.org/dc/elements/1.1/"/>
    <ds:schemaRef ds:uri="http://purl.org/dc/terms/"/>
    <ds:schemaRef ds:uri="http://www.w3.org/XML/1998/namespace"/>
    <ds:schemaRef ds:uri="http://purl.org/dc/dcmitype/"/>
    <ds:schemaRef ds:uri="http://schemas.microsoft.com/office/2006/metadata/properties"/>
    <ds:schemaRef ds:uri="http://schemas.microsoft.com/office/2006/documentManagement/types"/>
    <ds:schemaRef ds:uri="http://schemas.openxmlformats.org/package/2006/metadata/core-properties"/>
    <ds:schemaRef ds:uri="26ca0ed7-17c0-4650-b6cf-dc83e505bb1f"/>
  </ds:schemaRefs>
</ds:datastoreItem>
</file>

<file path=customXml/itemProps4.xml><?xml version="1.0" encoding="utf-8"?>
<ds:datastoreItem xmlns:ds="http://schemas.openxmlformats.org/officeDocument/2006/customXml" ds:itemID="{001365B7-3ECF-4ED0-A46E-BFE3D465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2825</Words>
  <Characters>16106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Schools Forum    October 16 2006</vt:lpstr>
    </vt:vector>
  </TitlesOfParts>
  <Company>LBM</Company>
  <LinksUpToDate>false</LinksUpToDate>
  <CharactersWithSpaces>18894</CharactersWithSpaces>
  <SharedDoc>false</SharedDoc>
  <HLinks>
    <vt:vector size="12" baseType="variant">
      <vt:variant>
        <vt:i4>6225995</vt:i4>
      </vt:variant>
      <vt:variant>
        <vt:i4>3</vt:i4>
      </vt:variant>
      <vt:variant>
        <vt:i4>0</vt:i4>
      </vt:variant>
      <vt:variant>
        <vt:i4>5</vt:i4>
      </vt:variant>
      <vt:variant>
        <vt:lpwstr>http://www.merton.gov.uk/</vt:lpwstr>
      </vt:variant>
      <vt:variant>
        <vt:lpwstr/>
      </vt:variant>
      <vt:variant>
        <vt:i4>5439590</vt:i4>
      </vt:variant>
      <vt:variant>
        <vt:i4>0</vt:i4>
      </vt:variant>
      <vt:variant>
        <vt:i4>0</vt:i4>
      </vt:variant>
      <vt:variant>
        <vt:i4>5</vt:i4>
      </vt:variant>
      <vt:variant>
        <vt:lpwstr>mailto:Zoe.Church@merton.gov.uk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October 16 2006</dc:title>
  <dc:subject/>
  <dc:creator>Zoe Church</dc:creator>
  <cp:keywords/>
  <dc:description/>
  <cp:lastModifiedBy>Patricia Harvey</cp:lastModifiedBy>
  <cp:revision>5</cp:revision>
  <cp:lastPrinted>2020-03-02T14:48:00Z</cp:lastPrinted>
  <dcterms:created xsi:type="dcterms:W3CDTF">2021-09-20T22:32:00Z</dcterms:created>
  <dcterms:modified xsi:type="dcterms:W3CDTF">2021-09-20T23:34:00Z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